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53" w:rsidRDefault="00743A53">
      <w:pPr>
        <w:spacing w:line="580" w:lineRule="exact"/>
        <w:rPr>
          <w:rFonts w:ascii="黑体" w:eastAsia="黑体"/>
          <w:sz w:val="44"/>
          <w:szCs w:val="44"/>
        </w:rPr>
      </w:pPr>
    </w:p>
    <w:p w:rsidR="00743A53" w:rsidRDefault="00743A53">
      <w:pPr>
        <w:spacing w:line="400" w:lineRule="exact"/>
        <w:rPr>
          <w:rFonts w:ascii="黑体" w:eastAsia="黑体"/>
          <w:sz w:val="44"/>
          <w:szCs w:val="44"/>
        </w:rPr>
      </w:pPr>
    </w:p>
    <w:p w:rsidR="00743A53" w:rsidRDefault="00743A53" w:rsidP="009A1D93">
      <w:pPr>
        <w:spacing w:line="720" w:lineRule="exact"/>
        <w:ind w:firstLineChars="164" w:firstLine="525"/>
        <w:jc w:val="center"/>
        <w:rPr>
          <w:rFonts w:ascii="仿宋_GB2312" w:eastAsia="仿宋_GB2312"/>
          <w:sz w:val="32"/>
          <w:szCs w:val="32"/>
        </w:rPr>
      </w:pPr>
    </w:p>
    <w:p w:rsidR="00743A53" w:rsidRDefault="00743A53" w:rsidP="009A1D93">
      <w:pPr>
        <w:spacing w:line="400" w:lineRule="exact"/>
        <w:ind w:firstLineChars="164" w:firstLine="525"/>
        <w:jc w:val="center"/>
        <w:rPr>
          <w:rFonts w:ascii="仿宋_GB2312" w:eastAsia="仿宋_GB2312"/>
          <w:sz w:val="32"/>
          <w:szCs w:val="32"/>
        </w:rPr>
      </w:pPr>
    </w:p>
    <w:p w:rsidR="00743A53" w:rsidRDefault="00743A53" w:rsidP="009A1D93">
      <w:pPr>
        <w:spacing w:line="600" w:lineRule="exact"/>
        <w:ind w:firstLineChars="164" w:firstLine="525"/>
        <w:jc w:val="center"/>
        <w:rPr>
          <w:rFonts w:ascii="仿宋_GB2312" w:eastAsia="仿宋_GB2312"/>
          <w:sz w:val="32"/>
          <w:szCs w:val="32"/>
        </w:rPr>
      </w:pPr>
    </w:p>
    <w:p w:rsidR="00743A53" w:rsidRDefault="00743A53">
      <w:pPr>
        <w:spacing w:line="720" w:lineRule="exact"/>
        <w:jc w:val="center"/>
        <w:rPr>
          <w:rFonts w:ascii="仿宋_GB2312" w:eastAsia="仿宋_GB2312" w:hAnsi="楷体"/>
          <w:sz w:val="32"/>
          <w:szCs w:val="32"/>
        </w:rPr>
      </w:pPr>
      <w:r>
        <w:rPr>
          <w:rFonts w:ascii="仿宋_GB2312" w:eastAsia="仿宋_GB2312" w:hAnsi="楷体" w:hint="eastAsia"/>
          <w:sz w:val="32"/>
          <w:szCs w:val="32"/>
        </w:rPr>
        <w:t>枣台司发〔20</w:t>
      </w:r>
      <w:r w:rsidR="00EF4811">
        <w:rPr>
          <w:rFonts w:ascii="仿宋_GB2312" w:eastAsia="仿宋_GB2312" w:hAnsi="楷体" w:hint="eastAsia"/>
          <w:sz w:val="32"/>
          <w:szCs w:val="32"/>
        </w:rPr>
        <w:t>2</w:t>
      </w:r>
      <w:r w:rsidR="00327164">
        <w:rPr>
          <w:rFonts w:ascii="仿宋_GB2312" w:eastAsia="仿宋_GB2312" w:hAnsi="楷体" w:hint="eastAsia"/>
          <w:sz w:val="32"/>
          <w:szCs w:val="32"/>
        </w:rPr>
        <w:t>1</w:t>
      </w:r>
      <w:r>
        <w:rPr>
          <w:rFonts w:ascii="仿宋_GB2312" w:eastAsia="仿宋_GB2312" w:hAnsi="楷体" w:hint="eastAsia"/>
          <w:sz w:val="32"/>
          <w:szCs w:val="32"/>
        </w:rPr>
        <w:t>〕</w:t>
      </w:r>
      <w:r w:rsidR="002F6FC3">
        <w:rPr>
          <w:rFonts w:ascii="仿宋_GB2312" w:eastAsia="仿宋_GB2312" w:hAnsi="楷体" w:hint="eastAsia"/>
          <w:sz w:val="32"/>
          <w:szCs w:val="32"/>
        </w:rPr>
        <w:t>11</w:t>
      </w:r>
      <w:r>
        <w:rPr>
          <w:rFonts w:ascii="仿宋_GB2312" w:eastAsia="仿宋_GB2312" w:hAnsi="楷体" w:hint="eastAsia"/>
          <w:sz w:val="32"/>
          <w:szCs w:val="32"/>
        </w:rPr>
        <w:t>号</w:t>
      </w:r>
    </w:p>
    <w:p w:rsidR="00743A53" w:rsidRPr="001D1F4C" w:rsidRDefault="00743A53" w:rsidP="00490F34">
      <w:pPr>
        <w:spacing w:line="720" w:lineRule="exact"/>
        <w:rPr>
          <w:rFonts w:ascii="黑体" w:eastAsia="黑体"/>
          <w:sz w:val="42"/>
          <w:szCs w:val="44"/>
        </w:rPr>
      </w:pPr>
    </w:p>
    <w:p w:rsidR="00364DBE" w:rsidRDefault="00364DBE" w:rsidP="00490F34">
      <w:pPr>
        <w:spacing w:line="720" w:lineRule="exact"/>
        <w:rPr>
          <w:rFonts w:ascii="黑体" w:eastAsia="黑体"/>
          <w:sz w:val="44"/>
          <w:szCs w:val="44"/>
        </w:rPr>
      </w:pPr>
    </w:p>
    <w:p w:rsidR="002F6FC3" w:rsidRPr="002F6FC3" w:rsidRDefault="002F6FC3" w:rsidP="002F6FC3">
      <w:pPr>
        <w:widowControl/>
        <w:shd w:val="clear" w:color="auto" w:fill="FFFFFF"/>
        <w:spacing w:line="560" w:lineRule="exact"/>
        <w:jc w:val="center"/>
        <w:rPr>
          <w:rFonts w:ascii="方正小标宋简体" w:eastAsia="方正小标宋简体" w:hAnsi="宋体"/>
          <w:sz w:val="44"/>
          <w:szCs w:val="44"/>
        </w:rPr>
      </w:pPr>
      <w:r w:rsidRPr="002F6FC3">
        <w:rPr>
          <w:rFonts w:ascii="方正小标宋简体" w:eastAsia="方正小标宋简体" w:hAnsi="宋体" w:hint="eastAsia"/>
          <w:sz w:val="44"/>
          <w:szCs w:val="44"/>
        </w:rPr>
        <w:t>关于印发《台儿庄区行政裁决事项清单</w:t>
      </w:r>
    </w:p>
    <w:p w:rsidR="00743A53" w:rsidRPr="00EA2938" w:rsidRDefault="002F6FC3" w:rsidP="002F6FC3">
      <w:pPr>
        <w:widowControl/>
        <w:shd w:val="clear" w:color="auto" w:fill="FFFFFF"/>
        <w:spacing w:line="560" w:lineRule="exact"/>
        <w:jc w:val="center"/>
        <w:rPr>
          <w:rFonts w:ascii="方正小标宋简体" w:eastAsia="方正小标宋简体" w:hAnsi="方正小标宋简体" w:cs="方正小标宋简体"/>
          <w:spacing w:val="-20"/>
          <w:sz w:val="44"/>
          <w:szCs w:val="44"/>
        </w:rPr>
      </w:pPr>
      <w:r w:rsidRPr="002F6FC3">
        <w:rPr>
          <w:rFonts w:ascii="方正小标宋简体" w:eastAsia="方正小标宋简体" w:hAnsi="宋体" w:hint="eastAsia"/>
          <w:sz w:val="44"/>
          <w:szCs w:val="44"/>
        </w:rPr>
        <w:t>（第一批）》的通知</w:t>
      </w:r>
    </w:p>
    <w:p w:rsidR="00D67C5D" w:rsidRPr="00F43615" w:rsidRDefault="00D67C5D" w:rsidP="00DA49FA">
      <w:pPr>
        <w:pStyle w:val="a6"/>
        <w:spacing w:line="560" w:lineRule="exact"/>
        <w:rPr>
          <w:rFonts w:ascii="仿宋_GB2312" w:eastAsia="仿宋_GB2312"/>
          <w:szCs w:val="32"/>
        </w:rPr>
      </w:pPr>
    </w:p>
    <w:p w:rsidR="002F6FC3" w:rsidRPr="002F6FC3" w:rsidRDefault="002F6FC3" w:rsidP="002F6FC3">
      <w:pPr>
        <w:spacing w:line="560" w:lineRule="exact"/>
        <w:rPr>
          <w:rFonts w:ascii="仿宋_GB2312" w:eastAsia="仿宋_GB2312" w:hAnsi="仿宋"/>
          <w:sz w:val="32"/>
          <w:szCs w:val="32"/>
        </w:rPr>
      </w:pPr>
      <w:r w:rsidRPr="002F6FC3">
        <w:rPr>
          <w:rFonts w:ascii="仿宋_GB2312" w:eastAsia="仿宋_GB2312" w:hAnsi="仿宋" w:hint="eastAsia"/>
          <w:sz w:val="32"/>
          <w:szCs w:val="32"/>
        </w:rPr>
        <w:t>各镇（</w:t>
      </w:r>
      <w:r w:rsidR="004315C3">
        <w:rPr>
          <w:rFonts w:ascii="仿宋_GB2312" w:eastAsia="仿宋_GB2312" w:hAnsi="仿宋" w:hint="eastAsia"/>
          <w:sz w:val="32"/>
          <w:szCs w:val="32"/>
        </w:rPr>
        <w:t>街</w:t>
      </w:r>
      <w:r w:rsidRPr="002F6FC3">
        <w:rPr>
          <w:rFonts w:ascii="仿宋_GB2312" w:eastAsia="仿宋_GB2312" w:hAnsi="仿宋" w:hint="eastAsia"/>
          <w:sz w:val="32"/>
          <w:szCs w:val="32"/>
        </w:rPr>
        <w:t>），区</w:t>
      </w:r>
      <w:r w:rsidR="00D24B32">
        <w:rPr>
          <w:rFonts w:ascii="仿宋_GB2312" w:eastAsia="仿宋_GB2312" w:hAnsi="仿宋" w:hint="eastAsia"/>
          <w:sz w:val="32"/>
          <w:szCs w:val="32"/>
        </w:rPr>
        <w:t>直有关</w:t>
      </w:r>
      <w:r w:rsidRPr="002F6FC3">
        <w:rPr>
          <w:rFonts w:ascii="仿宋_GB2312" w:eastAsia="仿宋_GB2312" w:hAnsi="仿宋" w:hint="eastAsia"/>
          <w:sz w:val="32"/>
          <w:szCs w:val="32"/>
        </w:rPr>
        <w:t>部门</w:t>
      </w:r>
      <w:r>
        <w:rPr>
          <w:rFonts w:ascii="仿宋_GB2312" w:eastAsia="仿宋_GB2312" w:hAnsi="仿宋" w:hint="eastAsia"/>
          <w:sz w:val="32"/>
          <w:szCs w:val="32"/>
        </w:rPr>
        <w:t>（单位）</w:t>
      </w:r>
      <w:r w:rsidRPr="002F6FC3">
        <w:rPr>
          <w:rFonts w:ascii="仿宋_GB2312" w:eastAsia="仿宋_GB2312" w:hAnsi="仿宋" w:hint="eastAsia"/>
          <w:sz w:val="32"/>
          <w:szCs w:val="32"/>
        </w:rPr>
        <w:t>：</w:t>
      </w:r>
    </w:p>
    <w:p w:rsidR="002F6FC3" w:rsidRDefault="002F6FC3" w:rsidP="002F6FC3">
      <w:pPr>
        <w:spacing w:line="560" w:lineRule="exact"/>
        <w:ind w:firstLineChars="200" w:firstLine="640"/>
        <w:rPr>
          <w:rFonts w:ascii="仿宋_GB2312" w:eastAsia="仿宋_GB2312" w:hAnsi="仿宋"/>
          <w:sz w:val="32"/>
          <w:szCs w:val="32"/>
        </w:rPr>
      </w:pPr>
      <w:r w:rsidRPr="002F6FC3">
        <w:rPr>
          <w:rFonts w:ascii="仿宋_GB2312" w:eastAsia="仿宋_GB2312" w:hAnsi="仿宋" w:hint="eastAsia"/>
          <w:sz w:val="32"/>
          <w:szCs w:val="32"/>
        </w:rPr>
        <w:t>为贯彻落实中共中央办公厅、国务院办公厅《关于健全行政裁决制度加强行政裁决工作的意见》（中办发〔2018〕</w:t>
      </w:r>
      <w:r>
        <w:rPr>
          <w:rFonts w:ascii="仿宋_GB2312" w:eastAsia="仿宋_GB2312" w:hAnsi="仿宋" w:hint="eastAsia"/>
          <w:sz w:val="32"/>
          <w:szCs w:val="32"/>
        </w:rPr>
        <w:t>75</w:t>
      </w:r>
      <w:r w:rsidRPr="002F6FC3">
        <w:rPr>
          <w:rFonts w:ascii="仿宋_GB2312" w:eastAsia="仿宋_GB2312" w:hAnsi="仿宋" w:hint="eastAsia"/>
          <w:sz w:val="32"/>
          <w:szCs w:val="32"/>
        </w:rPr>
        <w:t>号）</w:t>
      </w:r>
      <w:r>
        <w:rPr>
          <w:rFonts w:ascii="仿宋_GB2312" w:eastAsia="仿宋_GB2312" w:hAnsi="仿宋" w:hint="eastAsia"/>
          <w:sz w:val="32"/>
          <w:szCs w:val="32"/>
        </w:rPr>
        <w:t>精神</w:t>
      </w:r>
      <w:r w:rsidRPr="002F6FC3">
        <w:rPr>
          <w:rFonts w:ascii="仿宋_GB2312" w:eastAsia="仿宋_GB2312" w:hAnsi="仿宋" w:hint="eastAsia"/>
          <w:sz w:val="32"/>
          <w:szCs w:val="32"/>
        </w:rPr>
        <w:t>，依据《国务院部门行政裁决事项</w:t>
      </w:r>
      <w:r>
        <w:rPr>
          <w:rFonts w:ascii="仿宋_GB2312" w:eastAsia="仿宋_GB2312" w:hAnsi="仿宋" w:hint="eastAsia"/>
          <w:sz w:val="32"/>
          <w:szCs w:val="32"/>
        </w:rPr>
        <w:t>基本清单》及《山东省行政裁决事项清单（第一批）》，区司法局会同</w:t>
      </w:r>
      <w:r w:rsidRPr="002F6FC3">
        <w:rPr>
          <w:rFonts w:ascii="仿宋_GB2312" w:eastAsia="仿宋_GB2312" w:hAnsi="仿宋" w:hint="eastAsia"/>
          <w:sz w:val="32"/>
          <w:szCs w:val="32"/>
        </w:rPr>
        <w:t>有关部门对有法律法规设定依据的行政裁决事项</w:t>
      </w:r>
      <w:r>
        <w:rPr>
          <w:rFonts w:ascii="仿宋_GB2312" w:eastAsia="仿宋_GB2312" w:hAnsi="仿宋" w:hint="eastAsia"/>
          <w:sz w:val="32"/>
          <w:szCs w:val="32"/>
        </w:rPr>
        <w:t>进行</w:t>
      </w:r>
      <w:r w:rsidR="00D679F3">
        <w:rPr>
          <w:rFonts w:ascii="仿宋_GB2312" w:eastAsia="仿宋_GB2312" w:hAnsi="仿宋" w:hint="eastAsia"/>
          <w:sz w:val="32"/>
          <w:szCs w:val="32"/>
        </w:rPr>
        <w:t>了</w:t>
      </w:r>
      <w:r>
        <w:rPr>
          <w:rFonts w:ascii="仿宋_GB2312" w:eastAsia="仿宋_GB2312" w:hAnsi="仿宋" w:hint="eastAsia"/>
          <w:sz w:val="32"/>
          <w:szCs w:val="32"/>
        </w:rPr>
        <w:t>梳理，形成《台儿庄区行政裁决事项清单（第一批）》（以下简称《清单》），</w:t>
      </w:r>
      <w:r w:rsidRPr="002F6FC3">
        <w:rPr>
          <w:rFonts w:ascii="仿宋_GB2312" w:eastAsia="仿宋_GB2312" w:hAnsi="仿宋" w:hint="eastAsia"/>
          <w:sz w:val="32"/>
          <w:szCs w:val="32"/>
        </w:rPr>
        <w:t>现印发你们，请认真抓好落实。</w:t>
      </w:r>
    </w:p>
    <w:p w:rsidR="002F6FC3" w:rsidRPr="002F6FC3" w:rsidRDefault="002F6FC3" w:rsidP="002F6FC3">
      <w:pPr>
        <w:spacing w:line="560" w:lineRule="exact"/>
        <w:ind w:firstLineChars="200" w:firstLine="640"/>
        <w:rPr>
          <w:rFonts w:ascii="仿宋_GB2312" w:eastAsia="仿宋_GB2312" w:hAnsi="仿宋"/>
          <w:sz w:val="32"/>
          <w:szCs w:val="32"/>
        </w:rPr>
      </w:pPr>
      <w:r w:rsidRPr="002F6FC3">
        <w:rPr>
          <w:rFonts w:ascii="仿宋_GB2312" w:eastAsia="仿宋_GB2312" w:hAnsi="仿宋" w:hint="eastAsia"/>
          <w:sz w:val="32"/>
          <w:szCs w:val="32"/>
        </w:rPr>
        <w:t>各镇（</w:t>
      </w:r>
      <w:r>
        <w:rPr>
          <w:rFonts w:ascii="仿宋_GB2312" w:eastAsia="仿宋_GB2312" w:hAnsi="仿宋" w:hint="eastAsia"/>
          <w:sz w:val="32"/>
          <w:szCs w:val="32"/>
        </w:rPr>
        <w:t>街</w:t>
      </w:r>
      <w:r w:rsidRPr="002F6FC3">
        <w:rPr>
          <w:rFonts w:ascii="仿宋_GB2312" w:eastAsia="仿宋_GB2312" w:hAnsi="仿宋" w:hint="eastAsia"/>
          <w:sz w:val="32"/>
          <w:szCs w:val="32"/>
        </w:rPr>
        <w:t>）</w:t>
      </w:r>
      <w:r>
        <w:rPr>
          <w:rFonts w:ascii="仿宋_GB2312" w:eastAsia="仿宋_GB2312" w:hAnsi="仿宋" w:hint="eastAsia"/>
          <w:sz w:val="32"/>
          <w:szCs w:val="32"/>
        </w:rPr>
        <w:t>、各有关</w:t>
      </w:r>
      <w:r w:rsidRPr="002F6FC3">
        <w:rPr>
          <w:rFonts w:ascii="仿宋_GB2312" w:eastAsia="仿宋_GB2312" w:hAnsi="仿宋" w:hint="eastAsia"/>
          <w:sz w:val="32"/>
          <w:szCs w:val="32"/>
        </w:rPr>
        <w:t>部门</w:t>
      </w:r>
      <w:r>
        <w:rPr>
          <w:rFonts w:ascii="仿宋_GB2312" w:eastAsia="仿宋_GB2312" w:hAnsi="仿宋" w:hint="eastAsia"/>
          <w:sz w:val="32"/>
          <w:szCs w:val="32"/>
        </w:rPr>
        <w:t>（单位）</w:t>
      </w:r>
      <w:r w:rsidRPr="002F6FC3">
        <w:rPr>
          <w:rFonts w:ascii="仿宋_GB2312" w:eastAsia="仿宋_GB2312" w:hAnsi="仿宋" w:hint="eastAsia"/>
          <w:sz w:val="32"/>
          <w:szCs w:val="32"/>
        </w:rPr>
        <w:t>要将行政裁决事项及时纳入权责清单，并将名称、法律法规依据、办理程序和时限、救济渠道等信息，及时在网站、业务办理窗口等公布。</w:t>
      </w:r>
      <w:r w:rsidR="00D679F3">
        <w:rPr>
          <w:rFonts w:ascii="仿宋_GB2312" w:eastAsia="仿宋_GB2312" w:hAnsi="仿宋" w:hint="eastAsia"/>
          <w:sz w:val="32"/>
          <w:szCs w:val="32"/>
        </w:rPr>
        <w:t>区司法局</w:t>
      </w:r>
      <w:r w:rsidRPr="002F6FC3">
        <w:rPr>
          <w:rFonts w:ascii="仿宋_GB2312" w:eastAsia="仿宋_GB2312" w:hAnsi="仿宋" w:hint="eastAsia"/>
          <w:sz w:val="32"/>
          <w:szCs w:val="32"/>
        </w:rPr>
        <w:t>加强对行政裁决工作的综合协调和督促落实，健全工作机制，</w:t>
      </w:r>
      <w:r w:rsidRPr="002F6FC3">
        <w:rPr>
          <w:rFonts w:ascii="仿宋_GB2312" w:eastAsia="仿宋_GB2312" w:hAnsi="仿宋" w:hint="eastAsia"/>
          <w:sz w:val="32"/>
          <w:szCs w:val="32"/>
        </w:rPr>
        <w:lastRenderedPageBreak/>
        <w:t>完善制度措施，加大宣传力度，适时组织评估，对发现的问题</w:t>
      </w:r>
      <w:r w:rsidR="00D679F3">
        <w:rPr>
          <w:rFonts w:ascii="仿宋_GB2312" w:eastAsia="仿宋_GB2312" w:hAnsi="仿宋" w:hint="eastAsia"/>
          <w:sz w:val="32"/>
          <w:szCs w:val="32"/>
        </w:rPr>
        <w:t>及时向相关行政机关提出工作建议，相关行政机关要在收到工作建议后</w:t>
      </w:r>
      <w:r w:rsidRPr="002F6FC3">
        <w:rPr>
          <w:rFonts w:ascii="仿宋_GB2312" w:eastAsia="仿宋_GB2312" w:hAnsi="仿宋" w:hint="eastAsia"/>
          <w:sz w:val="32"/>
          <w:szCs w:val="32"/>
        </w:rPr>
        <w:t>15个工作日内书面报告</w:t>
      </w:r>
      <w:r w:rsidR="00D679F3">
        <w:rPr>
          <w:rFonts w:ascii="仿宋_GB2312" w:eastAsia="仿宋_GB2312" w:hAnsi="仿宋" w:hint="eastAsia"/>
          <w:sz w:val="32"/>
          <w:szCs w:val="32"/>
        </w:rPr>
        <w:t>落实</w:t>
      </w:r>
      <w:r w:rsidRPr="002F6FC3">
        <w:rPr>
          <w:rFonts w:ascii="仿宋_GB2312" w:eastAsia="仿宋_GB2312" w:hAnsi="仿宋" w:hint="eastAsia"/>
          <w:sz w:val="32"/>
          <w:szCs w:val="32"/>
        </w:rPr>
        <w:t>情况。</w:t>
      </w:r>
    </w:p>
    <w:p w:rsidR="00D679F3" w:rsidRDefault="00D679F3" w:rsidP="002F6FC3">
      <w:pPr>
        <w:spacing w:line="560" w:lineRule="exact"/>
        <w:ind w:firstLineChars="200" w:firstLine="640"/>
        <w:rPr>
          <w:rFonts w:ascii="仿宋_GB2312" w:eastAsia="仿宋_GB2312" w:hAnsi="仿宋"/>
          <w:sz w:val="32"/>
          <w:szCs w:val="32"/>
        </w:rPr>
      </w:pPr>
    </w:p>
    <w:p w:rsidR="00D679F3" w:rsidRDefault="00D679F3" w:rsidP="002F6FC3">
      <w:pPr>
        <w:spacing w:line="560" w:lineRule="exact"/>
        <w:ind w:firstLineChars="200" w:firstLine="640"/>
        <w:rPr>
          <w:rFonts w:ascii="仿宋_GB2312" w:eastAsia="仿宋_GB2312" w:hAnsi="仿宋"/>
          <w:sz w:val="32"/>
          <w:szCs w:val="32"/>
        </w:rPr>
      </w:pPr>
    </w:p>
    <w:p w:rsidR="00371F07" w:rsidRDefault="00371F07" w:rsidP="002F6FC3">
      <w:pPr>
        <w:spacing w:line="560" w:lineRule="exact"/>
        <w:ind w:firstLineChars="200" w:firstLine="640"/>
        <w:rPr>
          <w:rFonts w:ascii="仿宋_GB2312" w:eastAsia="仿宋_GB2312" w:hAnsi="仿宋"/>
          <w:sz w:val="32"/>
          <w:szCs w:val="32"/>
        </w:rPr>
      </w:pPr>
    </w:p>
    <w:p w:rsidR="00AE5937" w:rsidRDefault="002F6FC3" w:rsidP="002F6FC3">
      <w:pPr>
        <w:spacing w:line="560" w:lineRule="exact"/>
        <w:ind w:firstLineChars="200" w:firstLine="640"/>
        <w:rPr>
          <w:rFonts w:ascii="仿宋_GB2312" w:eastAsia="仿宋_GB2312" w:hAnsi="仿宋"/>
          <w:sz w:val="32"/>
          <w:szCs w:val="32"/>
        </w:rPr>
      </w:pPr>
      <w:r w:rsidRPr="002F6FC3">
        <w:rPr>
          <w:rFonts w:ascii="仿宋_GB2312" w:eastAsia="仿宋_GB2312" w:hAnsi="仿宋" w:hint="eastAsia"/>
          <w:sz w:val="32"/>
          <w:szCs w:val="32"/>
        </w:rPr>
        <w:t>附件：台儿庄区行政裁决事项清单（第一批）</w:t>
      </w:r>
    </w:p>
    <w:p w:rsidR="009A1D93" w:rsidRPr="00453642" w:rsidRDefault="009A1D93" w:rsidP="009146E8">
      <w:pPr>
        <w:pStyle w:val="a6"/>
        <w:spacing w:line="560" w:lineRule="exact"/>
        <w:ind w:firstLineChars="200" w:firstLine="640"/>
        <w:rPr>
          <w:rFonts w:ascii="仿宋_GB2312" w:eastAsia="仿宋_GB2312" w:hAnsi="仿宋"/>
          <w:szCs w:val="32"/>
        </w:rPr>
      </w:pPr>
    </w:p>
    <w:p w:rsidR="00B936A1" w:rsidRDefault="00B936A1" w:rsidP="0099781B">
      <w:pPr>
        <w:pStyle w:val="a6"/>
        <w:spacing w:line="560" w:lineRule="exact"/>
        <w:rPr>
          <w:rFonts w:ascii="仿宋_GB2312" w:eastAsia="仿宋_GB2312" w:hAnsi="仿宋"/>
          <w:szCs w:val="32"/>
        </w:rPr>
      </w:pPr>
    </w:p>
    <w:p w:rsidR="007D2AB7" w:rsidRDefault="007D2AB7" w:rsidP="0099781B">
      <w:pPr>
        <w:pStyle w:val="a6"/>
        <w:spacing w:line="560" w:lineRule="exact"/>
        <w:rPr>
          <w:rFonts w:ascii="仿宋_GB2312" w:eastAsia="仿宋_GB2312" w:hAnsi="仿宋"/>
          <w:szCs w:val="32"/>
        </w:rPr>
      </w:pPr>
    </w:p>
    <w:p w:rsidR="007D2AB7" w:rsidRPr="00B936A1" w:rsidRDefault="007D2AB7" w:rsidP="0099781B">
      <w:pPr>
        <w:pStyle w:val="a6"/>
        <w:spacing w:line="560" w:lineRule="exact"/>
        <w:rPr>
          <w:rFonts w:ascii="仿宋_GB2312" w:eastAsia="仿宋_GB2312" w:hAnsi="仿宋"/>
          <w:szCs w:val="32"/>
        </w:rPr>
      </w:pPr>
    </w:p>
    <w:p w:rsidR="00743A53" w:rsidRDefault="00743A53">
      <w:pPr>
        <w:pStyle w:val="a6"/>
        <w:wordWrap w:val="0"/>
        <w:spacing w:line="560" w:lineRule="exact"/>
        <w:jc w:val="right"/>
        <w:rPr>
          <w:rFonts w:ascii="仿宋_GB2312" w:eastAsia="仿宋_GB2312" w:hAnsi="仿宋"/>
          <w:szCs w:val="32"/>
        </w:rPr>
      </w:pPr>
      <w:r>
        <w:rPr>
          <w:rFonts w:ascii="仿宋_GB2312" w:eastAsia="仿宋_GB2312" w:hAnsi="仿宋" w:hint="eastAsia"/>
          <w:szCs w:val="32"/>
        </w:rPr>
        <w:t xml:space="preserve">枣庄市台儿庄区司法局   </w:t>
      </w:r>
      <w:r w:rsidR="006A0499">
        <w:rPr>
          <w:rFonts w:ascii="仿宋_GB2312" w:eastAsia="仿宋_GB2312" w:hAnsi="仿宋" w:hint="eastAsia"/>
          <w:szCs w:val="32"/>
        </w:rPr>
        <w:t xml:space="preserve"> </w:t>
      </w:r>
    </w:p>
    <w:p w:rsidR="00850C9C" w:rsidRDefault="00743A53" w:rsidP="00490F34">
      <w:pPr>
        <w:pStyle w:val="a6"/>
        <w:wordWrap w:val="0"/>
        <w:spacing w:line="560" w:lineRule="exact"/>
        <w:jc w:val="right"/>
        <w:rPr>
          <w:rFonts w:ascii="仿宋_GB2312" w:eastAsia="仿宋_GB2312"/>
        </w:rPr>
      </w:pPr>
      <w:r>
        <w:rPr>
          <w:rFonts w:ascii="仿宋_GB2312" w:eastAsia="仿宋_GB2312" w:hint="eastAsia"/>
        </w:rPr>
        <w:t>20</w:t>
      </w:r>
      <w:r w:rsidR="00EF4811">
        <w:rPr>
          <w:rFonts w:ascii="仿宋_GB2312" w:eastAsia="仿宋_GB2312" w:hint="eastAsia"/>
        </w:rPr>
        <w:t>2</w:t>
      </w:r>
      <w:r w:rsidR="00490F34">
        <w:rPr>
          <w:rFonts w:ascii="仿宋_GB2312" w:eastAsia="仿宋_GB2312" w:hint="eastAsia"/>
        </w:rPr>
        <w:t>1</w:t>
      </w:r>
      <w:r>
        <w:rPr>
          <w:rFonts w:ascii="仿宋_GB2312" w:eastAsia="仿宋_GB2312" w:hint="eastAsia"/>
        </w:rPr>
        <w:t>年</w:t>
      </w:r>
      <w:r w:rsidR="007213F4">
        <w:rPr>
          <w:rFonts w:ascii="仿宋_GB2312" w:eastAsia="仿宋_GB2312" w:hint="eastAsia"/>
        </w:rPr>
        <w:t>6</w:t>
      </w:r>
      <w:r>
        <w:rPr>
          <w:rFonts w:ascii="仿宋_GB2312" w:eastAsia="仿宋_GB2312" w:hint="eastAsia"/>
        </w:rPr>
        <w:t>月</w:t>
      </w:r>
      <w:r w:rsidR="002F6FC3">
        <w:rPr>
          <w:rFonts w:ascii="仿宋_GB2312" w:eastAsia="仿宋_GB2312" w:hint="eastAsia"/>
        </w:rPr>
        <w:t>2</w:t>
      </w:r>
      <w:r w:rsidR="00927760">
        <w:rPr>
          <w:rFonts w:ascii="仿宋_GB2312" w:eastAsia="仿宋_GB2312" w:hint="eastAsia"/>
        </w:rPr>
        <w:t>5</w:t>
      </w:r>
      <w:r>
        <w:rPr>
          <w:rFonts w:ascii="仿宋_GB2312" w:eastAsia="仿宋_GB2312" w:hint="eastAsia"/>
        </w:rPr>
        <w:t>日</w:t>
      </w:r>
      <w:r w:rsidR="006A0499">
        <w:rPr>
          <w:rFonts w:ascii="仿宋_GB2312" w:eastAsia="仿宋_GB2312" w:hint="eastAsia"/>
        </w:rPr>
        <w:t xml:space="preserve"> </w:t>
      </w:r>
      <w:r w:rsidR="00F43615">
        <w:rPr>
          <w:rFonts w:ascii="仿宋_GB2312" w:eastAsia="仿宋_GB2312" w:hint="eastAsia"/>
        </w:rPr>
        <w:t xml:space="preserve">     </w:t>
      </w:r>
    </w:p>
    <w:p w:rsidR="00D679F3" w:rsidRDefault="00D679F3" w:rsidP="00D679F3">
      <w:pPr>
        <w:widowControl/>
        <w:spacing w:line="560" w:lineRule="exact"/>
        <w:jc w:val="left"/>
        <w:rPr>
          <w:rFonts w:ascii="仿宋_GB2312" w:eastAsia="仿宋_GB2312"/>
          <w:sz w:val="32"/>
        </w:rPr>
        <w:sectPr w:rsidR="00D679F3" w:rsidSect="009A1D93">
          <w:headerReference w:type="default" r:id="rId6"/>
          <w:footerReference w:type="even" r:id="rId7"/>
          <w:footerReference w:type="default" r:id="rId8"/>
          <w:pgSz w:w="11906" w:h="16838" w:code="9"/>
          <w:pgMar w:top="1701" w:right="1588" w:bottom="1701" w:left="1588" w:header="851" w:footer="992" w:gutter="0"/>
          <w:pgNumType w:fmt="numberInDash"/>
          <w:cols w:space="720"/>
          <w:docGrid w:type="lines" w:linePitch="367" w:charSpace="918"/>
        </w:sectPr>
      </w:pPr>
    </w:p>
    <w:p w:rsidR="00D679F3" w:rsidRDefault="00D679F3" w:rsidP="00D679F3">
      <w:r>
        <w:rPr>
          <w:rFonts w:ascii="仿宋_GB2312" w:eastAsia="仿宋_GB2312" w:hAnsi="仿宋_GB2312" w:cs="仿宋_GB2312" w:hint="eastAsia"/>
          <w:sz w:val="32"/>
          <w:szCs w:val="32"/>
        </w:rPr>
        <w:lastRenderedPageBreak/>
        <w:t>附件：</w:t>
      </w:r>
    </w:p>
    <w:p w:rsidR="00D679F3" w:rsidRDefault="00D679F3" w:rsidP="00D679F3">
      <w:pPr>
        <w:pStyle w:val="1"/>
        <w:spacing w:line="705" w:lineRule="exact"/>
        <w:ind w:left="3743" w:right="3736"/>
      </w:pPr>
      <w:r>
        <w:rPr>
          <w:rFonts w:hint="eastAsia"/>
          <w:lang w:val="en-US"/>
        </w:rPr>
        <w:t>台儿庄区</w:t>
      </w:r>
      <w:r>
        <w:t>行政裁决事项清单（第一批</w:t>
      </w:r>
      <w:r>
        <w:rPr>
          <w:rFonts w:hint="eastAsia"/>
        </w:rPr>
        <w:t>）</w:t>
      </w:r>
    </w:p>
    <w:p w:rsidR="00161E2F" w:rsidRDefault="00161E2F" w:rsidP="00161E2F">
      <w:pPr>
        <w:rPr>
          <w:lang w:val="zh-CN" w:bidi="zh-CN"/>
        </w:rPr>
      </w:pPr>
    </w:p>
    <w:tbl>
      <w:tblPr>
        <w:tblStyle w:val="a7"/>
        <w:tblW w:w="15027" w:type="dxa"/>
        <w:jc w:val="center"/>
        <w:tblLook w:val="04A0"/>
      </w:tblPr>
      <w:tblGrid>
        <w:gridCol w:w="675"/>
        <w:gridCol w:w="1560"/>
        <w:gridCol w:w="1275"/>
        <w:gridCol w:w="6379"/>
        <w:gridCol w:w="3953"/>
        <w:gridCol w:w="1185"/>
      </w:tblGrid>
      <w:tr w:rsidR="004E055B" w:rsidTr="006A030A">
        <w:trPr>
          <w:jc w:val="center"/>
        </w:trPr>
        <w:tc>
          <w:tcPr>
            <w:tcW w:w="675" w:type="dxa"/>
            <w:vAlign w:val="center"/>
          </w:tcPr>
          <w:p w:rsidR="00161E2F" w:rsidRDefault="00161E2F" w:rsidP="00161E2F">
            <w:pPr>
              <w:jc w:val="center"/>
              <w:rPr>
                <w:rFonts w:ascii="黑体" w:eastAsia="黑体" w:hAnsi="黑体" w:cs="黑体"/>
                <w:sz w:val="24"/>
              </w:rPr>
            </w:pPr>
            <w:r>
              <w:rPr>
                <w:rFonts w:ascii="黑体" w:eastAsia="黑体" w:hAnsi="黑体" w:cs="黑体" w:hint="eastAsia"/>
                <w:sz w:val="24"/>
              </w:rPr>
              <w:t>序号</w:t>
            </w:r>
          </w:p>
        </w:tc>
        <w:tc>
          <w:tcPr>
            <w:tcW w:w="1560" w:type="dxa"/>
            <w:vAlign w:val="center"/>
          </w:tcPr>
          <w:p w:rsidR="004E055B" w:rsidRDefault="00161E2F" w:rsidP="00161E2F">
            <w:pPr>
              <w:jc w:val="center"/>
              <w:rPr>
                <w:rFonts w:ascii="黑体" w:eastAsia="黑体" w:hAnsi="黑体" w:cs="黑体"/>
                <w:sz w:val="24"/>
              </w:rPr>
            </w:pPr>
            <w:r>
              <w:rPr>
                <w:rFonts w:ascii="黑体" w:eastAsia="黑体" w:hAnsi="黑体" w:cs="黑体" w:hint="eastAsia"/>
                <w:sz w:val="24"/>
              </w:rPr>
              <w:t>指导（实施）</w:t>
            </w:r>
          </w:p>
          <w:p w:rsidR="00161E2F" w:rsidRDefault="00161E2F" w:rsidP="00161E2F">
            <w:pPr>
              <w:jc w:val="center"/>
              <w:rPr>
                <w:rFonts w:ascii="黑体" w:eastAsia="黑体" w:hAnsi="黑体" w:cs="黑体"/>
                <w:sz w:val="24"/>
              </w:rPr>
            </w:pPr>
            <w:r>
              <w:rPr>
                <w:rFonts w:ascii="黑体" w:eastAsia="黑体" w:hAnsi="黑体" w:cs="黑体" w:hint="eastAsia"/>
                <w:sz w:val="24"/>
              </w:rPr>
              <w:t>部门</w:t>
            </w:r>
          </w:p>
        </w:tc>
        <w:tc>
          <w:tcPr>
            <w:tcW w:w="1275" w:type="dxa"/>
            <w:vAlign w:val="center"/>
          </w:tcPr>
          <w:p w:rsidR="00161E2F" w:rsidRDefault="00161E2F" w:rsidP="00161E2F">
            <w:pPr>
              <w:jc w:val="center"/>
              <w:rPr>
                <w:rFonts w:ascii="黑体" w:eastAsia="黑体" w:hAnsi="黑体" w:cs="黑体"/>
                <w:sz w:val="24"/>
              </w:rPr>
            </w:pPr>
            <w:r>
              <w:rPr>
                <w:rFonts w:ascii="黑体" w:eastAsia="黑体" w:hAnsi="黑体" w:cs="黑体" w:hint="eastAsia"/>
                <w:sz w:val="24"/>
              </w:rPr>
              <w:t>事项名称</w:t>
            </w:r>
          </w:p>
        </w:tc>
        <w:tc>
          <w:tcPr>
            <w:tcW w:w="6379" w:type="dxa"/>
            <w:vAlign w:val="center"/>
          </w:tcPr>
          <w:p w:rsidR="00161E2F" w:rsidRDefault="00161E2F" w:rsidP="00161E2F">
            <w:pPr>
              <w:jc w:val="center"/>
              <w:rPr>
                <w:rFonts w:ascii="黑体" w:eastAsia="黑体" w:hAnsi="黑体" w:cs="黑体"/>
                <w:sz w:val="24"/>
              </w:rPr>
            </w:pPr>
            <w:r>
              <w:rPr>
                <w:rFonts w:ascii="黑体" w:eastAsia="黑体" w:hAnsi="黑体" w:cs="黑体" w:hint="eastAsia"/>
                <w:sz w:val="24"/>
              </w:rPr>
              <w:t>法律法规设定依据</w:t>
            </w:r>
          </w:p>
        </w:tc>
        <w:tc>
          <w:tcPr>
            <w:tcW w:w="3953" w:type="dxa"/>
            <w:vAlign w:val="center"/>
          </w:tcPr>
          <w:p w:rsidR="00161E2F" w:rsidRDefault="00161E2F" w:rsidP="00161E2F">
            <w:pPr>
              <w:jc w:val="center"/>
              <w:rPr>
                <w:rFonts w:ascii="黑体" w:eastAsia="黑体" w:hAnsi="黑体" w:cs="黑体"/>
                <w:sz w:val="24"/>
              </w:rPr>
            </w:pPr>
            <w:r>
              <w:rPr>
                <w:rFonts w:ascii="黑体" w:eastAsia="黑体" w:hAnsi="黑体" w:cs="黑体" w:hint="eastAsia"/>
                <w:sz w:val="24"/>
              </w:rPr>
              <w:t>规章等程序性规定</w:t>
            </w:r>
          </w:p>
        </w:tc>
        <w:tc>
          <w:tcPr>
            <w:tcW w:w="1185" w:type="dxa"/>
            <w:vAlign w:val="center"/>
          </w:tcPr>
          <w:p w:rsidR="00161E2F" w:rsidRDefault="00161E2F" w:rsidP="00161E2F">
            <w:pPr>
              <w:jc w:val="center"/>
              <w:rPr>
                <w:rFonts w:ascii="黑体" w:eastAsia="黑体" w:hAnsi="黑体" w:cs="黑体"/>
                <w:sz w:val="24"/>
              </w:rPr>
            </w:pPr>
            <w:r>
              <w:rPr>
                <w:rFonts w:ascii="黑体" w:eastAsia="黑体" w:hAnsi="黑体" w:cs="黑体" w:hint="eastAsia"/>
                <w:sz w:val="24"/>
              </w:rPr>
              <w:t>实施主体</w:t>
            </w:r>
          </w:p>
        </w:tc>
      </w:tr>
      <w:tr w:rsidR="004E055B" w:rsidTr="006A030A">
        <w:trPr>
          <w:trHeight w:val="3949"/>
          <w:jc w:val="center"/>
        </w:trPr>
        <w:tc>
          <w:tcPr>
            <w:tcW w:w="6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1</w:t>
            </w:r>
          </w:p>
        </w:tc>
        <w:tc>
          <w:tcPr>
            <w:tcW w:w="1560"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财政部门</w:t>
            </w:r>
          </w:p>
        </w:tc>
        <w:tc>
          <w:tcPr>
            <w:tcW w:w="12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政府采购</w:t>
            </w:r>
          </w:p>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投诉处理</w:t>
            </w:r>
          </w:p>
        </w:tc>
        <w:tc>
          <w:tcPr>
            <w:tcW w:w="6379"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政府采购法》第五十五条：质疑供应商对采购人、采购代理机构的答复不满意或者采购人、采购代理机构未在规定的时间内作出答复的，可以在答复期满后十五个工作日内向同级政府采购监督管理部门投诉。第五十六条：政府采购监督管理部门应当在收到投诉后三十个工作日内，对投诉事项作出处理决定，并以书面形式通知投诉人和与投诉事项有关的当事人。第五十七条：政府采购监督管理部门在处理投诉事项期间，可以视具体情况书面通知采购人暂停采购活动，但暂停时间最长不得超过三十日。第五十八条：投诉人对政府采购监督管理部门的投诉处理决定不服或者政府采购监督管理部门逾期未作处理的，可以依法申请行政复议或者向人民法院，提起行政诉讼。</w:t>
            </w:r>
          </w:p>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【行政法规】《中华人民共和国政府采购法实施条例》第五十六条：财政部门处理投诉事项采用书面审查的方式，必要时可以进行调查或者组织质证。</w:t>
            </w:r>
          </w:p>
        </w:tc>
        <w:tc>
          <w:tcPr>
            <w:tcW w:w="3953"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【部门规章】《政府采购质疑和投诉办法》第五条第二款：县级以上各级人民政府财政部门负责依法处理供应商投诉。</w:t>
            </w:r>
          </w:p>
        </w:tc>
        <w:tc>
          <w:tcPr>
            <w:tcW w:w="118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区财政局</w:t>
            </w:r>
          </w:p>
        </w:tc>
      </w:tr>
      <w:tr w:rsidR="004E055B" w:rsidTr="006A030A">
        <w:trPr>
          <w:trHeight w:val="3394"/>
          <w:jc w:val="center"/>
        </w:trPr>
        <w:tc>
          <w:tcPr>
            <w:tcW w:w="6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2</w:t>
            </w:r>
          </w:p>
        </w:tc>
        <w:tc>
          <w:tcPr>
            <w:tcW w:w="1560"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交通运输行政主管部门（此权限已划转至区行政审批服务局）</w:t>
            </w:r>
          </w:p>
        </w:tc>
        <w:tc>
          <w:tcPr>
            <w:tcW w:w="1275" w:type="dxa"/>
            <w:vAlign w:val="center"/>
          </w:tcPr>
          <w:p w:rsidR="004E055B" w:rsidRPr="007C600C" w:rsidRDefault="004E055B" w:rsidP="004E055B">
            <w:pPr>
              <w:rPr>
                <w:rFonts w:ascii="仿宋_GB2312" w:eastAsia="仿宋_GB2312" w:hAnsi="仿宋_GB2312" w:cs="仿宋_GB2312"/>
                <w:szCs w:val="21"/>
              </w:rPr>
            </w:pPr>
            <w:r w:rsidRPr="007C600C">
              <w:rPr>
                <w:rFonts w:ascii="仿宋_GB2312" w:eastAsia="仿宋_GB2312" w:hAnsi="仿宋_GB2312" w:cs="仿宋_GB2312" w:hint="eastAsia"/>
                <w:szCs w:val="21"/>
              </w:rPr>
              <w:t>对客运经营者在发车时间安排上发生纠纷，客运站经营者协调无效的裁决</w:t>
            </w:r>
          </w:p>
        </w:tc>
        <w:tc>
          <w:tcPr>
            <w:tcW w:w="6379"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道路运输条例》第四十一条规定，道路旅客运输站（场）经营者应当为客运经营者合理安排班次，公布其运输线路、起止经停站点、运输班次、始发时间、票价，调度车辆进站、发车，疏导旅客，维持上下车秩序。道路旅客运输站（场）经营者应当设置旅客购票、候车、行李寄存和托运等服务设施，按照车辆核定载客限额售票，并采取措施防止携带危险品的人员进站乘车。</w:t>
            </w:r>
          </w:p>
        </w:tc>
        <w:tc>
          <w:tcPr>
            <w:tcW w:w="3953"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部门规章】《道路旅客运输及客运站管理规定》第六十二条规定，客运站经营者应当禁止无证经营的车辆进站从事经营活动，无正当理由不得拒绝合法客运车辆进站经营。客运站经营者应当坚持公平、公正原则，合理安排发车时间，公平售票。客运经营者在发车时间安排上发生纠纷，客运站经营者协调无效时，由当地县级以上道路运输管理机构裁定。</w:t>
            </w:r>
          </w:p>
        </w:tc>
        <w:tc>
          <w:tcPr>
            <w:tcW w:w="118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区行政审批服务局</w:t>
            </w:r>
          </w:p>
        </w:tc>
      </w:tr>
      <w:tr w:rsidR="004E055B" w:rsidTr="006A030A">
        <w:trPr>
          <w:jc w:val="center"/>
        </w:trPr>
        <w:tc>
          <w:tcPr>
            <w:tcW w:w="6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lastRenderedPageBreak/>
              <w:t>3</w:t>
            </w:r>
          </w:p>
        </w:tc>
        <w:tc>
          <w:tcPr>
            <w:tcW w:w="1560"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市场监督</w:t>
            </w:r>
          </w:p>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管理部门</w:t>
            </w:r>
          </w:p>
        </w:tc>
        <w:tc>
          <w:tcPr>
            <w:tcW w:w="12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计量纠纷的仲裁检定</w:t>
            </w:r>
          </w:p>
        </w:tc>
        <w:tc>
          <w:tcPr>
            <w:tcW w:w="6379"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计量法》第十八条：县级以上人民政府计量行政部门应当依法对制造、修理、销售、进口和使用计量器具，以及计量检定等相关计量活动进行监督检查。有关单位和个人不得拒绝、阻挠。第十九条：县级以上人民政府计量行政部门，根据需要设置计量监督员。计量监督员管理办法，由国务院计量行政部门制定。第二十条：县级以上人民政府计量行政部门可以根据需要设置计量检定机构，或者授权其他单位的计量检定机构，执行强制检定和其 他检定、测试任务。第二十一条：处理因计量器具准确度所引起的纠纷，以国家计量基准器具或者社会公用计量标准器具检定的数据为准。</w:t>
            </w:r>
          </w:p>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计量法实施细则》第三十四条：县级以上人民政府计量行政部门负责计量纠纷的调解和仲裁检定，并可根据司法机关、合同管理机关、涉外仲裁机关或者其他单位的委托，指定有关计量检定机构进行仲裁检定。第三十六条：计量纠纷当事人对仲裁检定不服的，可以在接到仲裁裁定通知书之日起15日内向上一级人民政府计量行政部门申诉。上一级人民政府计量行政部门进行的仲裁检定为终局仲裁检定。</w:t>
            </w:r>
          </w:p>
        </w:tc>
        <w:tc>
          <w:tcPr>
            <w:tcW w:w="3953" w:type="dxa"/>
            <w:vAlign w:val="center"/>
          </w:tcPr>
          <w:p w:rsidR="004E055B" w:rsidRPr="007C600C" w:rsidRDefault="004E055B" w:rsidP="006A030A">
            <w:pPr>
              <w:rPr>
                <w:rFonts w:ascii="仿宋_GB2312" w:eastAsia="仿宋_GB2312" w:hAnsi="仿宋_GB2312" w:cs="仿宋_GB2312"/>
                <w:szCs w:val="21"/>
              </w:rPr>
            </w:pPr>
          </w:p>
        </w:tc>
        <w:tc>
          <w:tcPr>
            <w:tcW w:w="118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区市场监督管理局</w:t>
            </w:r>
          </w:p>
        </w:tc>
      </w:tr>
      <w:tr w:rsidR="004E055B" w:rsidTr="006A030A">
        <w:trPr>
          <w:jc w:val="center"/>
        </w:trPr>
        <w:tc>
          <w:tcPr>
            <w:tcW w:w="6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4</w:t>
            </w:r>
          </w:p>
        </w:tc>
        <w:tc>
          <w:tcPr>
            <w:tcW w:w="1560"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市场监督</w:t>
            </w:r>
          </w:p>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管理部门</w:t>
            </w:r>
          </w:p>
        </w:tc>
        <w:tc>
          <w:tcPr>
            <w:tcW w:w="127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专利侵权</w:t>
            </w:r>
          </w:p>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纠纷处理</w:t>
            </w:r>
          </w:p>
        </w:tc>
        <w:tc>
          <w:tcPr>
            <w:tcW w:w="6379"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【法律】《中华人民共和国专利法》第六十五</w:t>
            </w:r>
            <w:bookmarkStart w:id="0" w:name="_GoBack"/>
            <w:bookmarkEnd w:id="0"/>
            <w:r w:rsidRPr="007C600C">
              <w:rPr>
                <w:rFonts w:ascii="仿宋_GB2312" w:eastAsia="仿宋_GB2312" w:hAnsi="仿宋_GB2312" w:cs="仿宋_GB2312" w:hint="eastAsia"/>
                <w:szCs w:val="21"/>
              </w:rPr>
              <w:t>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专利法实施细则》第七十九条：专利法和本细则所称管理专利工作的部门，是指由省、自治区、直辖市人民政府以及专利管理工作量大又有实际处理能力的设区的市人民政府设立的管理专利工作的部门。第八十条：国务院专利行政部门应当对管理专利工作的部门处理专利侵权纠纷、查处假冒专利行为、调解专利纠纷进行业务指导。</w:t>
            </w:r>
          </w:p>
        </w:tc>
        <w:tc>
          <w:tcPr>
            <w:tcW w:w="3953" w:type="dxa"/>
            <w:vAlign w:val="center"/>
          </w:tcPr>
          <w:p w:rsidR="004E055B" w:rsidRPr="007C600C" w:rsidRDefault="004E055B"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部门规章】《专利行政执法办法》第五条：对有重大影响的专利侵权纠纷案件、假冒专利案件，国家知识产权局在必要时可以组织有关管理专利工作的部门处理、查处。对于行为发生地涉及两个以上省、自治区、直辖市的重大案件，有关省、自治区、直辖市管理专利工作的部门可以报请国家知识产权局协调处理或者查处。管理专利工作的部门开展专利行政执法遇到疑难问的，国家知识产权局应当给予必要的指导和支持。第六条：管理专利工作的部门可以依据本地实际，委托有实际处理能力的市、县级人民政府设立的专利管理部门查处假冒专利行为、调解专利纠纷。委托方应当对受托方查处假冒专利和调解专利纠纷的行为进行监督和指导，并承担法律责任。</w:t>
            </w:r>
          </w:p>
        </w:tc>
        <w:tc>
          <w:tcPr>
            <w:tcW w:w="1185" w:type="dxa"/>
            <w:vAlign w:val="center"/>
          </w:tcPr>
          <w:p w:rsidR="004E055B" w:rsidRPr="007C600C" w:rsidRDefault="004E055B" w:rsidP="004E055B">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区市场监督管理局</w:t>
            </w:r>
          </w:p>
        </w:tc>
      </w:tr>
      <w:tr w:rsidR="00521969" w:rsidTr="006A030A">
        <w:trPr>
          <w:trHeight w:val="1413"/>
          <w:jc w:val="center"/>
        </w:trPr>
        <w:tc>
          <w:tcPr>
            <w:tcW w:w="67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lastRenderedPageBreak/>
              <w:t>5</w:t>
            </w:r>
          </w:p>
        </w:tc>
        <w:tc>
          <w:tcPr>
            <w:tcW w:w="1560"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市场监督</w:t>
            </w:r>
          </w:p>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管理部门</w:t>
            </w:r>
          </w:p>
        </w:tc>
        <w:tc>
          <w:tcPr>
            <w:tcW w:w="127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企业名称</w:t>
            </w:r>
          </w:p>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争议</w:t>
            </w:r>
          </w:p>
        </w:tc>
        <w:tc>
          <w:tcPr>
            <w:tcW w:w="6379" w:type="dxa"/>
            <w:vAlign w:val="center"/>
          </w:tcPr>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企业名称登记管理规定》第二十一条：企业认为其他企业名称侵犯本企业名称合法权益的，可以向人民法院起诉或者请求为涉嫌侵权企业办理登记的企业登记机关处理。企业登记机关受理申请后，可以进行调解；调解不成的，企业登记机关应当自受理之日起3个月内作出行政裁决。</w:t>
            </w:r>
          </w:p>
        </w:tc>
        <w:tc>
          <w:tcPr>
            <w:tcW w:w="3953" w:type="dxa"/>
            <w:vAlign w:val="center"/>
          </w:tcPr>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【部委规章】《企业名称管理实施办法》第四十二条：企业因名称与他人发生争议，可以向工商行政管理机关申请处理，也可以向人民法院起诉。</w:t>
            </w:r>
          </w:p>
        </w:tc>
        <w:tc>
          <w:tcPr>
            <w:tcW w:w="118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区市场监督管理局</w:t>
            </w:r>
          </w:p>
        </w:tc>
      </w:tr>
      <w:tr w:rsidR="00521969" w:rsidTr="006A030A">
        <w:trPr>
          <w:jc w:val="center"/>
        </w:trPr>
        <w:tc>
          <w:tcPr>
            <w:tcW w:w="67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6</w:t>
            </w:r>
          </w:p>
        </w:tc>
        <w:tc>
          <w:tcPr>
            <w:tcW w:w="1560"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水行政主管部门</w:t>
            </w:r>
          </w:p>
        </w:tc>
        <w:tc>
          <w:tcPr>
            <w:tcW w:w="127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水事纠纷</w:t>
            </w:r>
          </w:p>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争议</w:t>
            </w:r>
          </w:p>
        </w:tc>
        <w:tc>
          <w:tcPr>
            <w:tcW w:w="6379" w:type="dxa"/>
            <w:vAlign w:val="center"/>
          </w:tcPr>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水法》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w:t>
            </w:r>
          </w:p>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【法律】《中华人民共和国水土保持法》第四十六条：不同行政区域之间发生水土流失纠纷应当协商解决；协商不成的，由共同的上一级人民政府裁决。</w:t>
            </w:r>
          </w:p>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防汛条例》第十九条：地区之间在防汛抗洪方面发生的水事纠纷，由发生纠纷地区共同的上一级人民政府或其授权的主管部门处理。前款所指人民政府或者部门在处理防汛抗洪方面的水事纠纷时，有权采取临时紧急处置措施，有关当事各方必须服从并贯彻执行。</w:t>
            </w:r>
          </w:p>
          <w:p w:rsidR="00521969" w:rsidRPr="007C600C" w:rsidRDefault="00521969"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【行政法规】《中华人民共和国抗旱条例》第五十一条：因抗旱发生的水事纠纷，依照《中华人民共和国水法》的有关规定处理。</w:t>
            </w:r>
          </w:p>
        </w:tc>
        <w:tc>
          <w:tcPr>
            <w:tcW w:w="3953" w:type="dxa"/>
            <w:vAlign w:val="center"/>
          </w:tcPr>
          <w:p w:rsidR="00521969" w:rsidRPr="007C600C" w:rsidRDefault="00521969" w:rsidP="006A030A">
            <w:pPr>
              <w:rPr>
                <w:rFonts w:ascii="仿宋_GB2312" w:eastAsia="仿宋_GB2312" w:hAnsi="仿宋_GB2312" w:cs="仿宋_GB2312"/>
                <w:szCs w:val="21"/>
              </w:rPr>
            </w:pPr>
          </w:p>
        </w:tc>
        <w:tc>
          <w:tcPr>
            <w:tcW w:w="1185" w:type="dxa"/>
            <w:vAlign w:val="center"/>
          </w:tcPr>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szCs w:val="21"/>
              </w:rPr>
              <w:t>区政府</w:t>
            </w:r>
            <w:r w:rsidRPr="007C600C">
              <w:rPr>
                <w:rFonts w:ascii="仿宋_GB2312" w:eastAsia="仿宋_GB2312" w:hAnsi="仿宋_GB2312" w:cs="仿宋_GB2312" w:hint="eastAsia"/>
                <w:szCs w:val="21"/>
              </w:rPr>
              <w:t>或</w:t>
            </w:r>
          </w:p>
          <w:p w:rsidR="00521969" w:rsidRPr="007C600C" w:rsidRDefault="00521969" w:rsidP="00521969">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w:t>
            </w:r>
            <w:r w:rsidRPr="007C600C">
              <w:rPr>
                <w:rFonts w:ascii="仿宋_GB2312" w:eastAsia="仿宋_GB2312" w:hAnsi="仿宋_GB2312" w:cs="仿宋_GB2312"/>
                <w:szCs w:val="21"/>
              </w:rPr>
              <w:t>城乡水务局</w:t>
            </w:r>
          </w:p>
        </w:tc>
      </w:tr>
      <w:tr w:rsidR="00A2681E" w:rsidTr="006A030A">
        <w:trPr>
          <w:jc w:val="center"/>
        </w:trPr>
        <w:tc>
          <w:tcPr>
            <w:tcW w:w="675" w:type="dxa"/>
            <w:vAlign w:val="center"/>
          </w:tcPr>
          <w:p w:rsidR="00A2681E" w:rsidRPr="007C600C" w:rsidRDefault="00A2681E"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7</w:t>
            </w:r>
          </w:p>
        </w:tc>
        <w:tc>
          <w:tcPr>
            <w:tcW w:w="1560" w:type="dxa"/>
            <w:vAlign w:val="center"/>
          </w:tcPr>
          <w:p w:rsidR="00A2681E" w:rsidRPr="007C600C" w:rsidRDefault="00A2681E"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水行政主管部门</w:t>
            </w:r>
          </w:p>
        </w:tc>
        <w:tc>
          <w:tcPr>
            <w:tcW w:w="1275" w:type="dxa"/>
            <w:vAlign w:val="center"/>
          </w:tcPr>
          <w:p w:rsidR="00A2681E" w:rsidRPr="007C600C" w:rsidRDefault="00A2681E"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违反河道管理经济损失处理</w:t>
            </w:r>
          </w:p>
        </w:tc>
        <w:tc>
          <w:tcPr>
            <w:tcW w:w="6379" w:type="dxa"/>
            <w:vAlign w:val="center"/>
          </w:tcPr>
          <w:p w:rsidR="00A2681E" w:rsidRPr="007C600C" w:rsidRDefault="00A2681E"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河道管理条例》第四十七条：对违反本条例规定，造成国家、集体、个人经济损失的，受害方可以请求县级以上河道主管机关处理。受害方也可以直接向人民法院起诉。当事人对河道主管机关的处理决定不服的，可以在接到通知之日起，</w:t>
            </w:r>
            <w:r w:rsidR="00334B0C" w:rsidRPr="007C600C">
              <w:rPr>
                <w:rFonts w:ascii="仿宋_GB2312" w:eastAsia="仿宋_GB2312" w:hAnsi="仿宋_GB2312" w:cs="仿宋_GB2312" w:hint="eastAsia"/>
                <w:szCs w:val="21"/>
              </w:rPr>
              <w:t>15</w:t>
            </w:r>
            <w:r w:rsidRPr="007C600C">
              <w:rPr>
                <w:rFonts w:ascii="仿宋_GB2312" w:eastAsia="仿宋_GB2312" w:hAnsi="仿宋_GB2312" w:cs="仿宋_GB2312" w:hint="eastAsia"/>
                <w:szCs w:val="21"/>
              </w:rPr>
              <w:t>日内向人民法院起诉。</w:t>
            </w:r>
          </w:p>
        </w:tc>
        <w:tc>
          <w:tcPr>
            <w:tcW w:w="3953" w:type="dxa"/>
            <w:vAlign w:val="center"/>
          </w:tcPr>
          <w:p w:rsidR="00A2681E" w:rsidRPr="007C600C" w:rsidRDefault="00A2681E" w:rsidP="006A030A">
            <w:pPr>
              <w:rPr>
                <w:rFonts w:ascii="仿宋_GB2312" w:eastAsia="仿宋_GB2312" w:hAnsi="仿宋_GB2312" w:cs="仿宋_GB2312"/>
                <w:szCs w:val="21"/>
              </w:rPr>
            </w:pPr>
          </w:p>
        </w:tc>
        <w:tc>
          <w:tcPr>
            <w:tcW w:w="1185" w:type="dxa"/>
            <w:vAlign w:val="center"/>
          </w:tcPr>
          <w:p w:rsidR="00A2681E" w:rsidRPr="007C600C" w:rsidRDefault="00A2681E"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区城乡水务局</w:t>
            </w:r>
          </w:p>
        </w:tc>
      </w:tr>
      <w:tr w:rsidR="00334B0C" w:rsidTr="006A030A">
        <w:trPr>
          <w:jc w:val="center"/>
        </w:trPr>
        <w:tc>
          <w:tcPr>
            <w:tcW w:w="675" w:type="dxa"/>
            <w:vAlign w:val="center"/>
          </w:tcPr>
          <w:p w:rsidR="00334B0C" w:rsidRPr="007C600C" w:rsidRDefault="00334B0C"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8</w:t>
            </w:r>
          </w:p>
        </w:tc>
        <w:tc>
          <w:tcPr>
            <w:tcW w:w="1560" w:type="dxa"/>
            <w:vAlign w:val="center"/>
          </w:tcPr>
          <w:p w:rsidR="00334B0C" w:rsidRPr="007C600C" w:rsidRDefault="00334B0C"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水行政主管部门</w:t>
            </w:r>
          </w:p>
        </w:tc>
        <w:tc>
          <w:tcPr>
            <w:tcW w:w="1275" w:type="dxa"/>
            <w:vAlign w:val="center"/>
          </w:tcPr>
          <w:p w:rsidR="00334B0C" w:rsidRPr="007C600C" w:rsidRDefault="00334B0C"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地区之间防汛抗洪水事纠纷处理</w:t>
            </w:r>
          </w:p>
        </w:tc>
        <w:tc>
          <w:tcPr>
            <w:tcW w:w="6379" w:type="dxa"/>
            <w:vAlign w:val="center"/>
          </w:tcPr>
          <w:p w:rsidR="00334B0C" w:rsidRPr="007C600C" w:rsidRDefault="00334B0C" w:rsidP="006A030A">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防汛条例》第十九条：地区之间在防汛抗洪方面发生的水事纠纷，由发生纠纷地区共同的上一级人民政府或其授权的主管部门处理。前款所指人民政府或者部门在处理防汛抗洪方面的水事纠纷时，有权采取临时紧急处置措施，有关当事各方必须服从并贯彻执行。</w:t>
            </w:r>
          </w:p>
        </w:tc>
        <w:tc>
          <w:tcPr>
            <w:tcW w:w="3953" w:type="dxa"/>
            <w:vAlign w:val="center"/>
          </w:tcPr>
          <w:p w:rsidR="00334B0C" w:rsidRPr="007C600C" w:rsidRDefault="00334B0C" w:rsidP="006A030A">
            <w:pPr>
              <w:spacing w:line="26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注：水利部水旱灾害防治相关职责整合到应急管理部，水利部已上报修改《中华人民共和国防汛条例》建议。按照《水法》第五十六条、《水土保持法》第四十六条、《抗旱条例》第五十一条、《防汛条例》第十九条规定，不同行政区域之间发生的水事纠纷（含抗旱、防汛抗洪方面）、水土流失纠纷由共同的上一级人民政府处理，实践中，具体工作均由水利部门承担。</w:t>
            </w:r>
          </w:p>
        </w:tc>
        <w:tc>
          <w:tcPr>
            <w:tcW w:w="1185" w:type="dxa"/>
            <w:vAlign w:val="center"/>
          </w:tcPr>
          <w:p w:rsidR="00334B0C" w:rsidRPr="007C600C" w:rsidRDefault="00334B0C"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区政府或</w:t>
            </w:r>
          </w:p>
          <w:p w:rsidR="00334B0C" w:rsidRPr="007C600C" w:rsidRDefault="00334B0C" w:rsidP="00334B0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城乡水务局</w:t>
            </w:r>
          </w:p>
        </w:tc>
      </w:tr>
      <w:tr w:rsidR="00167E3D" w:rsidTr="00314C12">
        <w:trPr>
          <w:trHeight w:val="3250"/>
          <w:jc w:val="center"/>
        </w:trPr>
        <w:tc>
          <w:tcPr>
            <w:tcW w:w="67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lastRenderedPageBreak/>
              <w:t>9</w:t>
            </w:r>
          </w:p>
        </w:tc>
        <w:tc>
          <w:tcPr>
            <w:tcW w:w="1560"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卫生健康行政主管部门</w:t>
            </w:r>
          </w:p>
        </w:tc>
        <w:tc>
          <w:tcPr>
            <w:tcW w:w="127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医疗机构</w:t>
            </w:r>
          </w:p>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名称争议</w:t>
            </w:r>
          </w:p>
        </w:tc>
        <w:tc>
          <w:tcPr>
            <w:tcW w:w="6379" w:type="dxa"/>
            <w:vAlign w:val="center"/>
          </w:tcPr>
          <w:p w:rsidR="00167E3D" w:rsidRPr="007C600C" w:rsidRDefault="00167E3D" w:rsidP="00167E3D">
            <w:pPr>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【行政法规】《中华人民共和国医疗机构管理条例》第九条：单位或个人设置医疗机构，必须经县级以上地方人民政府卫生行政部门审查批准，并取得设置医疗机构批准书。</w:t>
            </w:r>
          </w:p>
        </w:tc>
        <w:tc>
          <w:tcPr>
            <w:tcW w:w="3953" w:type="dxa"/>
            <w:vAlign w:val="center"/>
          </w:tcPr>
          <w:p w:rsidR="00167E3D" w:rsidRPr="007C600C" w:rsidRDefault="00167E3D" w:rsidP="00314C12">
            <w:pPr>
              <w:rPr>
                <w:rFonts w:ascii="仿宋_GB2312" w:eastAsia="仿宋_GB2312" w:hAnsi="仿宋_GB2312" w:cs="仿宋_GB2312"/>
                <w:szCs w:val="21"/>
              </w:rPr>
            </w:pPr>
            <w:r w:rsidRPr="007C600C">
              <w:rPr>
                <w:rFonts w:ascii="仿宋_GB2312" w:eastAsia="仿宋_GB2312" w:hAnsi="仿宋_GB2312" w:cs="仿宋_GB2312" w:hint="eastAsia"/>
                <w:szCs w:val="21"/>
              </w:rPr>
              <w:t>【部委规章】《医疗机构管理条例实施细则》第四十九条：两个以上申请人向同一核准机关申请相同的医疗机构名称，核准机关依照申请在先原则核定。属于同一天申请的，应当由申请人双方协商解决；协商不成的，由核准机关作出裁决。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18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区卫生健康局</w:t>
            </w:r>
          </w:p>
        </w:tc>
      </w:tr>
      <w:tr w:rsidR="00167E3D" w:rsidTr="00314C12">
        <w:trPr>
          <w:trHeight w:val="6229"/>
          <w:jc w:val="center"/>
        </w:trPr>
        <w:tc>
          <w:tcPr>
            <w:tcW w:w="67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10</w:t>
            </w:r>
          </w:p>
        </w:tc>
        <w:tc>
          <w:tcPr>
            <w:tcW w:w="1560"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自然资源行政主管部门</w:t>
            </w:r>
          </w:p>
        </w:tc>
        <w:tc>
          <w:tcPr>
            <w:tcW w:w="127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林木林地权属争议处理</w:t>
            </w:r>
          </w:p>
        </w:tc>
        <w:tc>
          <w:tcPr>
            <w:tcW w:w="6379" w:type="dxa"/>
            <w:vAlign w:val="center"/>
          </w:tcPr>
          <w:p w:rsidR="00167E3D" w:rsidRPr="007C600C" w:rsidRDefault="00167E3D" w:rsidP="00167E3D">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森林法》第二十二条：单位之间发生的林木、林地所有权和使用权争议，由县级以上人民政府依法处理。个人之间、个人与单位之发生的林木所有权和林地使用权争议，由乡镇人民政府或者县级以上人民政府依法处理。当事人对人民政府的处理决定不服的，可以自接到处理决定通知之日起三十日，向人民法院起诉。在林木、林地权属争议解决前，除因森林防火、林业有害生物防治、国家重大基础设施建设等需要外，当事人任何一方不得砍伐 有争议的林木或者改变林地现状。</w:t>
            </w:r>
          </w:p>
        </w:tc>
        <w:tc>
          <w:tcPr>
            <w:tcW w:w="3953" w:type="dxa"/>
            <w:vAlign w:val="center"/>
          </w:tcPr>
          <w:p w:rsidR="00167E3D" w:rsidRPr="007C600C" w:rsidRDefault="00167E3D" w:rsidP="00167E3D">
            <w:pPr>
              <w:rPr>
                <w:rFonts w:ascii="仿宋_GB2312" w:eastAsia="仿宋_GB2312" w:hAnsi="仿宋_GB2312" w:cs="仿宋_GB2312"/>
                <w:szCs w:val="21"/>
              </w:rPr>
            </w:pPr>
            <w:r w:rsidRPr="007C600C">
              <w:rPr>
                <w:rFonts w:ascii="仿宋_GB2312" w:eastAsia="仿宋_GB2312" w:hAnsi="仿宋_GB2312" w:cs="仿宋_GB2312" w:hint="eastAsia"/>
                <w:szCs w:val="21"/>
              </w:rPr>
              <w:t>【部门规章】《林木林地权属争议处理办法》第四条：林权争议由各级人民政府依法作出处理决定。林业部、地方各级人民政府林业行政主管部门或者人民政府设立的林权争议处理机构（以下统称林权争议处理机构）按照管理权限分别负责办理林权争议处理的具体工作。第五条：林权争议发生后，当事人所在地林权争议处理机构应当及时向所在地人民政府报告，并采取有效措施防止事态扩大。在林权争议解决以前，任何单位和个人不得采伐有争议的林木，不得在有争议的林地上从事基本建设或者其他生产活动。</w:t>
            </w:r>
          </w:p>
          <w:p w:rsidR="00167E3D" w:rsidRPr="007C600C" w:rsidRDefault="00167E3D" w:rsidP="00167E3D">
            <w:pPr>
              <w:rPr>
                <w:rFonts w:ascii="仿宋_GB2312" w:eastAsia="仿宋_GB2312" w:hAnsi="仿宋_GB2312" w:cs="仿宋_GB2312"/>
                <w:szCs w:val="21"/>
              </w:rPr>
            </w:pPr>
            <w:r w:rsidRPr="007C600C">
              <w:rPr>
                <w:rFonts w:ascii="仿宋_GB2312" w:eastAsia="仿宋_GB2312" w:hAnsi="仿宋_GB2312" w:cs="仿宋_GB2312" w:hint="eastAsia"/>
                <w:szCs w:val="21"/>
              </w:rPr>
              <w:t>注：《自然资源部职能配置、内设机构和人员编制规定》中规定，“制定各类自然资源和不动产统一确权登记、权籍调查、不动产测绘、争议调处、成果应用的制度、标准、规范。”《自然资源统一确权登记工作方案》中规定，“县级以上地方人民政府和自然资源主管部门要配合、支持自然资源部做好自然资源权籍调查、界限核实、权属争议调处等相关工作。</w:t>
            </w:r>
          </w:p>
        </w:tc>
        <w:tc>
          <w:tcPr>
            <w:tcW w:w="1185" w:type="dxa"/>
            <w:vAlign w:val="center"/>
          </w:tcPr>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szCs w:val="21"/>
              </w:rPr>
              <w:t>区政府</w:t>
            </w:r>
            <w:r w:rsidRPr="007C600C">
              <w:rPr>
                <w:rFonts w:ascii="仿宋_GB2312" w:eastAsia="仿宋_GB2312" w:hAnsi="仿宋_GB2312" w:cs="仿宋_GB2312" w:hint="eastAsia"/>
                <w:szCs w:val="21"/>
              </w:rPr>
              <w:t>或</w:t>
            </w:r>
          </w:p>
          <w:p w:rsidR="00167E3D" w:rsidRPr="007C600C" w:rsidRDefault="00167E3D" w:rsidP="00167E3D">
            <w:pPr>
              <w:jc w:val="center"/>
              <w:rPr>
                <w:rFonts w:ascii="仿宋_GB2312" w:eastAsia="仿宋_GB2312" w:hAnsi="仿宋_GB2312" w:cs="仿宋_GB2312"/>
                <w:szCs w:val="21"/>
              </w:rPr>
            </w:pPr>
            <w:r w:rsidRPr="007C600C">
              <w:rPr>
                <w:rFonts w:ascii="仿宋_GB2312" w:eastAsia="仿宋_GB2312" w:hAnsi="仿宋_GB2312" w:cs="仿宋_GB2312"/>
                <w:szCs w:val="21"/>
              </w:rPr>
              <w:t>镇（街）政府</w:t>
            </w:r>
            <w:r w:rsidRPr="007C600C">
              <w:rPr>
                <w:rFonts w:ascii="仿宋_GB2312" w:eastAsia="仿宋_GB2312" w:hAnsi="仿宋_GB2312" w:cs="仿宋_GB2312" w:hint="eastAsia"/>
                <w:szCs w:val="21"/>
              </w:rPr>
              <w:t>（办事处）</w:t>
            </w:r>
          </w:p>
        </w:tc>
      </w:tr>
      <w:tr w:rsidR="00B2182C" w:rsidTr="008E592B">
        <w:trPr>
          <w:jc w:val="center"/>
        </w:trPr>
        <w:tc>
          <w:tcPr>
            <w:tcW w:w="675" w:type="dxa"/>
            <w:vAlign w:val="center"/>
          </w:tcPr>
          <w:p w:rsidR="00B2182C" w:rsidRPr="007C600C" w:rsidRDefault="00B2182C" w:rsidP="00B2182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lastRenderedPageBreak/>
              <w:t>11</w:t>
            </w:r>
          </w:p>
        </w:tc>
        <w:tc>
          <w:tcPr>
            <w:tcW w:w="1560" w:type="dxa"/>
            <w:vAlign w:val="center"/>
          </w:tcPr>
          <w:p w:rsidR="00B2182C" w:rsidRPr="007C600C" w:rsidRDefault="00B2182C" w:rsidP="00B2182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自然资源行政主管部门</w:t>
            </w:r>
          </w:p>
        </w:tc>
        <w:tc>
          <w:tcPr>
            <w:tcW w:w="1275" w:type="dxa"/>
            <w:vAlign w:val="center"/>
          </w:tcPr>
          <w:p w:rsidR="00B2182C" w:rsidRPr="007C600C" w:rsidRDefault="00B2182C" w:rsidP="00B2182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侵犯植物新品种权处理</w:t>
            </w:r>
          </w:p>
        </w:tc>
        <w:tc>
          <w:tcPr>
            <w:tcW w:w="6379" w:type="dxa"/>
            <w:vAlign w:val="center"/>
          </w:tcPr>
          <w:p w:rsidR="00E27B19" w:rsidRPr="007C600C" w:rsidRDefault="00B2182C" w:rsidP="00E27B19">
            <w:pPr>
              <w:spacing w:line="22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种子法》第二十八条：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第七十三条：违反本法第二十八条规定，有侵犯植物新品种权行为的，由当事人协商解决，不愿协商成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权利人的损失、侵权人获得的利益和植物新品种权许可使用费均难以确定的，人民法院可以根据植物新品种权的类型、侵权行为的性质和情节等</w:t>
            </w:r>
            <w:r w:rsidR="00E27B19" w:rsidRPr="007C600C">
              <w:rPr>
                <w:rFonts w:ascii="仿宋_GB2312" w:eastAsia="仿宋_GB2312" w:hAnsi="仿宋_GB2312" w:cs="仿宋_GB2312" w:hint="eastAsia"/>
                <w:szCs w:val="21"/>
              </w:rPr>
              <w:t>因素，确定给予三百万元以下的赔偿。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rsidR="00B2182C" w:rsidRPr="007C600C" w:rsidRDefault="00E27B19" w:rsidP="00E27B19">
            <w:pPr>
              <w:spacing w:line="22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植物新品种保护条例》第三十九条：未经品种权人许可，以商业目的生产或者销售授权品种的繁殖材料的，品种权人或者利害关系人可以请求省级以上人民政府农业、林业行政部门依据各自的职权进行处理，也可以直接向人民法院提起诉讼。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3953" w:type="dxa"/>
            <w:vAlign w:val="center"/>
          </w:tcPr>
          <w:p w:rsidR="00B2182C" w:rsidRPr="007C600C" w:rsidRDefault="00B2182C" w:rsidP="00B2182C">
            <w:pPr>
              <w:rPr>
                <w:rFonts w:ascii="仿宋_GB2312" w:eastAsia="仿宋_GB2312" w:hAnsi="仿宋_GB2312" w:cs="仿宋_GB2312"/>
                <w:szCs w:val="21"/>
              </w:rPr>
            </w:pPr>
            <w:r w:rsidRPr="007C600C">
              <w:rPr>
                <w:rFonts w:ascii="仿宋_GB2312" w:eastAsia="仿宋_GB2312" w:hAnsi="仿宋_GB2312" w:cs="仿宋_GB2312" w:hint="eastAsia"/>
                <w:szCs w:val="21"/>
              </w:rPr>
              <w:t>注：《种子法》和《植物新品种保护条例》中关于侵犯植物新品种权的处理部门层级规定不一致，前者是“县级以上人民政府林业主管部门”，后者是“省级以上人民政府林业行政部门”。</w:t>
            </w:r>
          </w:p>
        </w:tc>
        <w:tc>
          <w:tcPr>
            <w:tcW w:w="1185" w:type="dxa"/>
            <w:vAlign w:val="center"/>
          </w:tcPr>
          <w:p w:rsidR="00B2182C" w:rsidRPr="007C600C" w:rsidRDefault="00B2182C" w:rsidP="00B2182C">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区自然资源局</w:t>
            </w:r>
          </w:p>
        </w:tc>
      </w:tr>
      <w:tr w:rsidR="007B0912" w:rsidTr="000868C3">
        <w:trPr>
          <w:jc w:val="center"/>
        </w:trPr>
        <w:tc>
          <w:tcPr>
            <w:tcW w:w="67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lastRenderedPageBreak/>
              <w:t>12</w:t>
            </w:r>
          </w:p>
        </w:tc>
        <w:tc>
          <w:tcPr>
            <w:tcW w:w="1560"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自然资源行政主管部门</w:t>
            </w:r>
          </w:p>
        </w:tc>
        <w:tc>
          <w:tcPr>
            <w:tcW w:w="127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矿区范围</w:t>
            </w:r>
          </w:p>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争议处理</w:t>
            </w:r>
          </w:p>
        </w:tc>
        <w:tc>
          <w:tcPr>
            <w:tcW w:w="6379" w:type="dxa"/>
            <w:vAlign w:val="center"/>
          </w:tcPr>
          <w:p w:rsidR="007B0912" w:rsidRPr="007C600C" w:rsidRDefault="007B0912" w:rsidP="00055446">
            <w:pPr>
              <w:spacing w:line="24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矿产资源法》第四十九条：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rsidR="007B0912" w:rsidRPr="007C600C" w:rsidRDefault="007B0912" w:rsidP="00055446">
            <w:pPr>
              <w:spacing w:line="24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行政法规】《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3953" w:type="dxa"/>
            <w:vAlign w:val="center"/>
          </w:tcPr>
          <w:p w:rsidR="007B0912" w:rsidRPr="007C600C" w:rsidRDefault="007B0912" w:rsidP="007B0912">
            <w:pPr>
              <w:rPr>
                <w:rFonts w:ascii="仿宋_GB2312" w:eastAsia="仿宋_GB2312" w:hAnsi="仿宋_GB2312" w:cs="仿宋_GB2312"/>
                <w:szCs w:val="21"/>
              </w:rPr>
            </w:pPr>
          </w:p>
        </w:tc>
        <w:tc>
          <w:tcPr>
            <w:tcW w:w="118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szCs w:val="21"/>
              </w:rPr>
              <w:t>区政府</w:t>
            </w:r>
          </w:p>
        </w:tc>
      </w:tr>
      <w:tr w:rsidR="007B0912" w:rsidTr="00A462D5">
        <w:trPr>
          <w:jc w:val="center"/>
        </w:trPr>
        <w:tc>
          <w:tcPr>
            <w:tcW w:w="67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13</w:t>
            </w:r>
          </w:p>
        </w:tc>
        <w:tc>
          <w:tcPr>
            <w:tcW w:w="1560"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自然资源行政主管部门</w:t>
            </w:r>
          </w:p>
        </w:tc>
        <w:tc>
          <w:tcPr>
            <w:tcW w:w="127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土地权属</w:t>
            </w:r>
          </w:p>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hint="eastAsia"/>
                <w:szCs w:val="21"/>
              </w:rPr>
              <w:t>争议</w:t>
            </w:r>
          </w:p>
        </w:tc>
        <w:tc>
          <w:tcPr>
            <w:tcW w:w="6379" w:type="dxa"/>
            <w:vAlign w:val="center"/>
          </w:tcPr>
          <w:p w:rsidR="007B0912" w:rsidRPr="007C600C" w:rsidRDefault="007B0912" w:rsidP="007B0912">
            <w:pPr>
              <w:rPr>
                <w:rFonts w:ascii="仿宋_GB2312" w:eastAsia="仿宋_GB2312" w:hAnsi="仿宋_GB2312" w:cs="仿宋_GB2312"/>
                <w:szCs w:val="21"/>
              </w:rPr>
            </w:pPr>
            <w:r w:rsidRPr="007C600C">
              <w:rPr>
                <w:rFonts w:ascii="仿宋_GB2312" w:eastAsia="仿宋_GB2312" w:hAnsi="仿宋_GB2312" w:cs="仿宋_GB2312" w:hint="eastAsia"/>
                <w:szCs w:val="21"/>
              </w:rPr>
              <w:t>【法律】《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tc>
        <w:tc>
          <w:tcPr>
            <w:tcW w:w="3953" w:type="dxa"/>
            <w:vAlign w:val="center"/>
          </w:tcPr>
          <w:p w:rsidR="007B0912" w:rsidRPr="007C600C" w:rsidRDefault="007B0912" w:rsidP="007B0912">
            <w:pPr>
              <w:spacing w:line="24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部委规章】《土地权属争议调查处理办法》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九条：当事人发生土地权属争议，经协商不能解决的，可以依法向县级以上人民政府或者乡级人民政府提出处理申请，也可以依照本办法第五、六、七、八条的规定，向有关的国土资源行政主管部门提出调查处理申请。第三十条：国土资源行政主管部门提出调查处理意见后，应当在5个工作日内报送同级人民政府，由人民政府下达处理决定。国土资源行政主管部门的调查处理意见在报同级人民政府的同时，抄报上一级国土资源行政主管部门。</w:t>
            </w:r>
          </w:p>
          <w:p w:rsidR="007B0912" w:rsidRPr="007C600C" w:rsidRDefault="007B0912" w:rsidP="007B0912">
            <w:pPr>
              <w:spacing w:line="240" w:lineRule="exact"/>
              <w:rPr>
                <w:rFonts w:ascii="仿宋_GB2312" w:eastAsia="仿宋_GB2312" w:hAnsi="仿宋_GB2312" w:cs="仿宋_GB2312"/>
                <w:szCs w:val="21"/>
              </w:rPr>
            </w:pPr>
            <w:r w:rsidRPr="007C600C">
              <w:rPr>
                <w:rFonts w:ascii="仿宋_GB2312" w:eastAsia="仿宋_GB2312" w:hAnsi="仿宋_GB2312" w:cs="仿宋_GB2312" w:hint="eastAsia"/>
                <w:szCs w:val="21"/>
              </w:rPr>
              <w:t>【部门规范性文件】《确定土地所有权和使用权的若干规定》第二条：土地所有权和使用权由县级以上人民政府确定，土地管理部门具体承办。土地权属争议，由土地管理部门提出处理意见，报人民政府下达处理决定或报人民政府批准后由土地管理部门下达处理决定。</w:t>
            </w:r>
          </w:p>
        </w:tc>
        <w:tc>
          <w:tcPr>
            <w:tcW w:w="1185" w:type="dxa"/>
            <w:vAlign w:val="center"/>
          </w:tcPr>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szCs w:val="21"/>
              </w:rPr>
              <w:t>区政府或</w:t>
            </w:r>
          </w:p>
          <w:p w:rsidR="007B0912" w:rsidRPr="007C600C" w:rsidRDefault="007B0912" w:rsidP="007B0912">
            <w:pPr>
              <w:jc w:val="center"/>
              <w:rPr>
                <w:rFonts w:ascii="仿宋_GB2312" w:eastAsia="仿宋_GB2312" w:hAnsi="仿宋_GB2312" w:cs="仿宋_GB2312"/>
                <w:szCs w:val="21"/>
              </w:rPr>
            </w:pPr>
            <w:r w:rsidRPr="007C600C">
              <w:rPr>
                <w:rFonts w:ascii="仿宋_GB2312" w:eastAsia="仿宋_GB2312" w:hAnsi="仿宋_GB2312" w:cs="仿宋_GB2312"/>
                <w:szCs w:val="21"/>
              </w:rPr>
              <w:t>镇（街）政府</w:t>
            </w:r>
            <w:r w:rsidRPr="007C600C">
              <w:rPr>
                <w:rFonts w:ascii="仿宋_GB2312" w:eastAsia="仿宋_GB2312" w:hAnsi="仿宋_GB2312" w:cs="仿宋_GB2312" w:hint="eastAsia"/>
                <w:szCs w:val="21"/>
              </w:rPr>
              <w:t>（办事处）</w:t>
            </w:r>
          </w:p>
        </w:tc>
      </w:tr>
    </w:tbl>
    <w:p w:rsidR="00161E2F" w:rsidRPr="00161E2F" w:rsidRDefault="00161E2F" w:rsidP="00161E2F">
      <w:pPr>
        <w:rPr>
          <w:lang w:val="zh-CN" w:bidi="zh-CN"/>
        </w:rPr>
        <w:sectPr w:rsidR="00161E2F" w:rsidRPr="00161E2F" w:rsidSect="007B0912">
          <w:pgSz w:w="16840" w:h="11910" w:orient="landscape" w:code="9"/>
          <w:pgMar w:top="1134" w:right="1134" w:bottom="1134" w:left="1134" w:header="567" w:footer="851" w:gutter="0"/>
          <w:pgNumType w:fmt="numberInDash" w:start="3"/>
          <w:cols w:space="720"/>
        </w:sectPr>
      </w:pPr>
    </w:p>
    <w:p w:rsidR="00D679F3" w:rsidRPr="00055446" w:rsidRDefault="00D679F3" w:rsidP="00055446">
      <w:pPr>
        <w:widowControl/>
        <w:jc w:val="left"/>
        <w:rPr>
          <w:rFonts w:ascii="仿宋_GB2312" w:eastAsia="仿宋_GB2312"/>
          <w:sz w:val="10"/>
          <w:szCs w:val="10"/>
        </w:rPr>
      </w:pPr>
    </w:p>
    <w:sectPr w:rsidR="00D679F3" w:rsidRPr="00055446" w:rsidSect="00D679F3">
      <w:pgSz w:w="16838" w:h="11906" w:orient="landscape" w:code="9"/>
      <w:pgMar w:top="1588" w:right="1701" w:bottom="1588" w:left="1701" w:header="851" w:footer="992" w:gutter="0"/>
      <w:pgNumType w:fmt="numberInDash"/>
      <w:cols w:space="720"/>
      <w:docGrid w:type="linesAndChars" w:linePitch="367" w:charSpace="9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2A8" w:rsidRDefault="00C422A8">
      <w:r>
        <w:separator/>
      </w:r>
    </w:p>
  </w:endnote>
  <w:endnote w:type="continuationSeparator" w:id="1">
    <w:p w:rsidR="00C422A8" w:rsidRDefault="00C42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53" w:rsidRDefault="001C18CE">
    <w:pPr>
      <w:pStyle w:val="a5"/>
      <w:framePr w:wrap="around" w:vAnchor="text" w:hAnchor="margin" w:xAlign="outside" w:y="1"/>
      <w:rPr>
        <w:rStyle w:val="a3"/>
      </w:rPr>
    </w:pPr>
    <w:r>
      <w:fldChar w:fldCharType="begin"/>
    </w:r>
    <w:r w:rsidR="00743A53">
      <w:rPr>
        <w:rStyle w:val="a3"/>
      </w:rPr>
      <w:instrText xml:space="preserve">PAGE  </w:instrText>
    </w:r>
    <w:r>
      <w:fldChar w:fldCharType="end"/>
    </w:r>
  </w:p>
  <w:p w:rsidR="00743A53" w:rsidRDefault="00743A5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53" w:rsidRDefault="001C18CE">
    <w:pPr>
      <w:pStyle w:val="a5"/>
      <w:framePr w:wrap="around" w:vAnchor="text" w:hAnchor="margin" w:xAlign="outside" w:y="1"/>
      <w:jc w:val="center"/>
      <w:rPr>
        <w:rStyle w:val="a3"/>
        <w:rFonts w:ascii="宋体" w:hAnsi="宋体"/>
        <w:sz w:val="28"/>
        <w:szCs w:val="28"/>
      </w:rPr>
    </w:pPr>
    <w:r>
      <w:rPr>
        <w:rFonts w:ascii="宋体" w:hAnsi="宋体"/>
        <w:sz w:val="28"/>
        <w:szCs w:val="28"/>
      </w:rPr>
      <w:fldChar w:fldCharType="begin"/>
    </w:r>
    <w:r w:rsidR="00743A53">
      <w:rPr>
        <w:rStyle w:val="a3"/>
        <w:rFonts w:ascii="宋体" w:hAnsi="宋体"/>
        <w:sz w:val="28"/>
        <w:szCs w:val="28"/>
      </w:rPr>
      <w:instrText xml:space="preserve">PAGE  </w:instrText>
    </w:r>
    <w:r>
      <w:rPr>
        <w:rFonts w:ascii="宋体" w:hAnsi="宋体"/>
        <w:sz w:val="28"/>
        <w:szCs w:val="28"/>
      </w:rPr>
      <w:fldChar w:fldCharType="separate"/>
    </w:r>
    <w:r w:rsidR="00927760">
      <w:rPr>
        <w:rStyle w:val="a3"/>
        <w:rFonts w:ascii="宋体" w:hAnsi="宋体"/>
        <w:noProof/>
        <w:sz w:val="28"/>
        <w:szCs w:val="28"/>
      </w:rPr>
      <w:t>- 2 -</w:t>
    </w:r>
    <w:r>
      <w:rPr>
        <w:rFonts w:ascii="宋体" w:hAnsi="宋体"/>
        <w:sz w:val="28"/>
        <w:szCs w:val="28"/>
      </w:rPr>
      <w:fldChar w:fldCharType="end"/>
    </w:r>
  </w:p>
  <w:p w:rsidR="00743A53" w:rsidRDefault="00743A5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2A8" w:rsidRDefault="00C422A8">
      <w:r>
        <w:separator/>
      </w:r>
    </w:p>
  </w:footnote>
  <w:footnote w:type="continuationSeparator" w:id="1">
    <w:p w:rsidR="00C422A8" w:rsidRDefault="00C42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53" w:rsidRDefault="00743A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74D"/>
    <w:rsid w:val="000148DC"/>
    <w:rsid w:val="00015E33"/>
    <w:rsid w:val="0003146A"/>
    <w:rsid w:val="0003263B"/>
    <w:rsid w:val="00033B68"/>
    <w:rsid w:val="0003500F"/>
    <w:rsid w:val="0003796E"/>
    <w:rsid w:val="00043FF9"/>
    <w:rsid w:val="00050D39"/>
    <w:rsid w:val="00050F62"/>
    <w:rsid w:val="00050FB4"/>
    <w:rsid w:val="0005190B"/>
    <w:rsid w:val="00055446"/>
    <w:rsid w:val="00055985"/>
    <w:rsid w:val="00056295"/>
    <w:rsid w:val="00057320"/>
    <w:rsid w:val="000603F4"/>
    <w:rsid w:val="00064025"/>
    <w:rsid w:val="00065FE9"/>
    <w:rsid w:val="00072261"/>
    <w:rsid w:val="00074356"/>
    <w:rsid w:val="000813B7"/>
    <w:rsid w:val="00087CA4"/>
    <w:rsid w:val="00087DBA"/>
    <w:rsid w:val="0009018D"/>
    <w:rsid w:val="00096512"/>
    <w:rsid w:val="000B17EC"/>
    <w:rsid w:val="000B3C6D"/>
    <w:rsid w:val="000B6601"/>
    <w:rsid w:val="000C48F0"/>
    <w:rsid w:val="000D5201"/>
    <w:rsid w:val="000E0507"/>
    <w:rsid w:val="000E6D1E"/>
    <w:rsid w:val="000F6D09"/>
    <w:rsid w:val="00103C85"/>
    <w:rsid w:val="00107F60"/>
    <w:rsid w:val="00112A76"/>
    <w:rsid w:val="001138D1"/>
    <w:rsid w:val="001157E5"/>
    <w:rsid w:val="00122F13"/>
    <w:rsid w:val="00133DE2"/>
    <w:rsid w:val="00160418"/>
    <w:rsid w:val="00161E2F"/>
    <w:rsid w:val="0016341C"/>
    <w:rsid w:val="00166D8D"/>
    <w:rsid w:val="00167A4E"/>
    <w:rsid w:val="00167E3D"/>
    <w:rsid w:val="00174022"/>
    <w:rsid w:val="00177BC5"/>
    <w:rsid w:val="00180EA6"/>
    <w:rsid w:val="00186177"/>
    <w:rsid w:val="00194D4F"/>
    <w:rsid w:val="001B04DC"/>
    <w:rsid w:val="001B3690"/>
    <w:rsid w:val="001B777A"/>
    <w:rsid w:val="001C18CE"/>
    <w:rsid w:val="001C5E4A"/>
    <w:rsid w:val="001D1F4C"/>
    <w:rsid w:val="001E3E99"/>
    <w:rsid w:val="001E4193"/>
    <w:rsid w:val="001E586F"/>
    <w:rsid w:val="001E6954"/>
    <w:rsid w:val="001E78A5"/>
    <w:rsid w:val="001F387E"/>
    <w:rsid w:val="001F5D0D"/>
    <w:rsid w:val="0020089C"/>
    <w:rsid w:val="0020208A"/>
    <w:rsid w:val="00213B7C"/>
    <w:rsid w:val="00216494"/>
    <w:rsid w:val="00222342"/>
    <w:rsid w:val="002255FA"/>
    <w:rsid w:val="00227B02"/>
    <w:rsid w:val="00235161"/>
    <w:rsid w:val="00236C2E"/>
    <w:rsid w:val="002412D4"/>
    <w:rsid w:val="00241B6B"/>
    <w:rsid w:val="002442C0"/>
    <w:rsid w:val="00244AF1"/>
    <w:rsid w:val="002455F0"/>
    <w:rsid w:val="00246A31"/>
    <w:rsid w:val="00247485"/>
    <w:rsid w:val="002474C4"/>
    <w:rsid w:val="0025547D"/>
    <w:rsid w:val="00260456"/>
    <w:rsid w:val="0026370D"/>
    <w:rsid w:val="00271778"/>
    <w:rsid w:val="00284BFE"/>
    <w:rsid w:val="00293FB7"/>
    <w:rsid w:val="002A2371"/>
    <w:rsid w:val="002B0175"/>
    <w:rsid w:val="002B1B49"/>
    <w:rsid w:val="002B3F86"/>
    <w:rsid w:val="002B60D6"/>
    <w:rsid w:val="002B76C0"/>
    <w:rsid w:val="002C0B36"/>
    <w:rsid w:val="002C4E19"/>
    <w:rsid w:val="002D332D"/>
    <w:rsid w:val="002E1092"/>
    <w:rsid w:val="002F327A"/>
    <w:rsid w:val="002F52FF"/>
    <w:rsid w:val="002F6FC3"/>
    <w:rsid w:val="00310634"/>
    <w:rsid w:val="00314C12"/>
    <w:rsid w:val="00327164"/>
    <w:rsid w:val="003303DD"/>
    <w:rsid w:val="0033378F"/>
    <w:rsid w:val="003349F4"/>
    <w:rsid w:val="00334B0C"/>
    <w:rsid w:val="003403A4"/>
    <w:rsid w:val="00341E64"/>
    <w:rsid w:val="00342053"/>
    <w:rsid w:val="003427C1"/>
    <w:rsid w:val="00343C86"/>
    <w:rsid w:val="00353599"/>
    <w:rsid w:val="00360F9C"/>
    <w:rsid w:val="00363C50"/>
    <w:rsid w:val="003641F1"/>
    <w:rsid w:val="00364DBE"/>
    <w:rsid w:val="00365A21"/>
    <w:rsid w:val="00371F07"/>
    <w:rsid w:val="00376D0C"/>
    <w:rsid w:val="003777EE"/>
    <w:rsid w:val="00383191"/>
    <w:rsid w:val="00384176"/>
    <w:rsid w:val="0038599D"/>
    <w:rsid w:val="003860EE"/>
    <w:rsid w:val="00392232"/>
    <w:rsid w:val="003931C1"/>
    <w:rsid w:val="003979B5"/>
    <w:rsid w:val="003A31FB"/>
    <w:rsid w:val="003A7C2F"/>
    <w:rsid w:val="003B08D5"/>
    <w:rsid w:val="003B0C19"/>
    <w:rsid w:val="003B464A"/>
    <w:rsid w:val="003B7951"/>
    <w:rsid w:val="003D31F3"/>
    <w:rsid w:val="003D3A75"/>
    <w:rsid w:val="003D7C4A"/>
    <w:rsid w:val="003F289B"/>
    <w:rsid w:val="003F55D7"/>
    <w:rsid w:val="003F691B"/>
    <w:rsid w:val="00402978"/>
    <w:rsid w:val="00402EB8"/>
    <w:rsid w:val="004054A5"/>
    <w:rsid w:val="00407EA5"/>
    <w:rsid w:val="00410347"/>
    <w:rsid w:val="00411D39"/>
    <w:rsid w:val="0041397F"/>
    <w:rsid w:val="004147FC"/>
    <w:rsid w:val="00414F91"/>
    <w:rsid w:val="00421C99"/>
    <w:rsid w:val="004242B3"/>
    <w:rsid w:val="0042447D"/>
    <w:rsid w:val="004315C3"/>
    <w:rsid w:val="004332FE"/>
    <w:rsid w:val="00433C67"/>
    <w:rsid w:val="0044344A"/>
    <w:rsid w:val="00444040"/>
    <w:rsid w:val="00446D1A"/>
    <w:rsid w:val="00453642"/>
    <w:rsid w:val="00455C8E"/>
    <w:rsid w:val="00455FDE"/>
    <w:rsid w:val="00456867"/>
    <w:rsid w:val="0046104C"/>
    <w:rsid w:val="00470414"/>
    <w:rsid w:val="00474451"/>
    <w:rsid w:val="00475E32"/>
    <w:rsid w:val="00490EC4"/>
    <w:rsid w:val="00490F34"/>
    <w:rsid w:val="00497638"/>
    <w:rsid w:val="004A4B87"/>
    <w:rsid w:val="004A51D5"/>
    <w:rsid w:val="004A6D15"/>
    <w:rsid w:val="004B4D45"/>
    <w:rsid w:val="004C2B9C"/>
    <w:rsid w:val="004C6990"/>
    <w:rsid w:val="004D77D3"/>
    <w:rsid w:val="004E055B"/>
    <w:rsid w:val="004E766F"/>
    <w:rsid w:val="004F3FE6"/>
    <w:rsid w:val="00507DE4"/>
    <w:rsid w:val="0052016D"/>
    <w:rsid w:val="00520361"/>
    <w:rsid w:val="00521969"/>
    <w:rsid w:val="005235D4"/>
    <w:rsid w:val="005265A5"/>
    <w:rsid w:val="00530EAB"/>
    <w:rsid w:val="00534106"/>
    <w:rsid w:val="0054424D"/>
    <w:rsid w:val="00551341"/>
    <w:rsid w:val="00555CE6"/>
    <w:rsid w:val="00563156"/>
    <w:rsid w:val="00563859"/>
    <w:rsid w:val="00567805"/>
    <w:rsid w:val="005738A2"/>
    <w:rsid w:val="00582061"/>
    <w:rsid w:val="00591094"/>
    <w:rsid w:val="005919EF"/>
    <w:rsid w:val="005B005E"/>
    <w:rsid w:val="005B2675"/>
    <w:rsid w:val="005C1A64"/>
    <w:rsid w:val="005C3471"/>
    <w:rsid w:val="005D515E"/>
    <w:rsid w:val="005E38A2"/>
    <w:rsid w:val="005E45DD"/>
    <w:rsid w:val="005F13CF"/>
    <w:rsid w:val="005F13E6"/>
    <w:rsid w:val="005F1DE4"/>
    <w:rsid w:val="005F59E1"/>
    <w:rsid w:val="00600D54"/>
    <w:rsid w:val="00605E84"/>
    <w:rsid w:val="00607985"/>
    <w:rsid w:val="006118FF"/>
    <w:rsid w:val="0061414C"/>
    <w:rsid w:val="00617B63"/>
    <w:rsid w:val="0062026F"/>
    <w:rsid w:val="00622137"/>
    <w:rsid w:val="006246AC"/>
    <w:rsid w:val="0063222B"/>
    <w:rsid w:val="00633EAB"/>
    <w:rsid w:val="006351E1"/>
    <w:rsid w:val="0063529E"/>
    <w:rsid w:val="00642A02"/>
    <w:rsid w:val="00642C50"/>
    <w:rsid w:val="00650CDE"/>
    <w:rsid w:val="006573DA"/>
    <w:rsid w:val="00657C2B"/>
    <w:rsid w:val="00665ECD"/>
    <w:rsid w:val="00681FD9"/>
    <w:rsid w:val="0068317F"/>
    <w:rsid w:val="00684020"/>
    <w:rsid w:val="006873FC"/>
    <w:rsid w:val="00691802"/>
    <w:rsid w:val="00694FD2"/>
    <w:rsid w:val="006960C3"/>
    <w:rsid w:val="006A030A"/>
    <w:rsid w:val="006A0499"/>
    <w:rsid w:val="006A3738"/>
    <w:rsid w:val="006A748E"/>
    <w:rsid w:val="006A7C7F"/>
    <w:rsid w:val="006B3BB0"/>
    <w:rsid w:val="006B4DEE"/>
    <w:rsid w:val="006C7265"/>
    <w:rsid w:val="006C72AE"/>
    <w:rsid w:val="006C78C4"/>
    <w:rsid w:val="006D0FEE"/>
    <w:rsid w:val="006D138C"/>
    <w:rsid w:val="006D6825"/>
    <w:rsid w:val="006E1988"/>
    <w:rsid w:val="006E468C"/>
    <w:rsid w:val="006F037C"/>
    <w:rsid w:val="006F3FB1"/>
    <w:rsid w:val="006F64C0"/>
    <w:rsid w:val="0070243E"/>
    <w:rsid w:val="007051B8"/>
    <w:rsid w:val="00705EEF"/>
    <w:rsid w:val="007100FD"/>
    <w:rsid w:val="007108A4"/>
    <w:rsid w:val="007213F4"/>
    <w:rsid w:val="007218D2"/>
    <w:rsid w:val="0072190C"/>
    <w:rsid w:val="00725ACA"/>
    <w:rsid w:val="00726D8B"/>
    <w:rsid w:val="007301FA"/>
    <w:rsid w:val="00734BD1"/>
    <w:rsid w:val="00743A53"/>
    <w:rsid w:val="00743C3B"/>
    <w:rsid w:val="00744185"/>
    <w:rsid w:val="00745FB9"/>
    <w:rsid w:val="0075016D"/>
    <w:rsid w:val="00751648"/>
    <w:rsid w:val="00752A17"/>
    <w:rsid w:val="007611A5"/>
    <w:rsid w:val="00775B97"/>
    <w:rsid w:val="00780EA4"/>
    <w:rsid w:val="00782ADB"/>
    <w:rsid w:val="0079339C"/>
    <w:rsid w:val="00794234"/>
    <w:rsid w:val="00795CCE"/>
    <w:rsid w:val="00797F83"/>
    <w:rsid w:val="007A439E"/>
    <w:rsid w:val="007B0912"/>
    <w:rsid w:val="007C1DD8"/>
    <w:rsid w:val="007C2019"/>
    <w:rsid w:val="007C20FF"/>
    <w:rsid w:val="007C2F88"/>
    <w:rsid w:val="007C600C"/>
    <w:rsid w:val="007D24C8"/>
    <w:rsid w:val="007D2AB7"/>
    <w:rsid w:val="007E20F5"/>
    <w:rsid w:val="007F0D8C"/>
    <w:rsid w:val="007F403B"/>
    <w:rsid w:val="00801247"/>
    <w:rsid w:val="00802309"/>
    <w:rsid w:val="00806F72"/>
    <w:rsid w:val="00823800"/>
    <w:rsid w:val="00825B4E"/>
    <w:rsid w:val="008308DE"/>
    <w:rsid w:val="00836BF5"/>
    <w:rsid w:val="0083796C"/>
    <w:rsid w:val="008407F6"/>
    <w:rsid w:val="00844B5A"/>
    <w:rsid w:val="0085001C"/>
    <w:rsid w:val="00850733"/>
    <w:rsid w:val="00850C9C"/>
    <w:rsid w:val="00852A19"/>
    <w:rsid w:val="00857280"/>
    <w:rsid w:val="00861171"/>
    <w:rsid w:val="0086236B"/>
    <w:rsid w:val="00865860"/>
    <w:rsid w:val="00866453"/>
    <w:rsid w:val="00870E2D"/>
    <w:rsid w:val="0087101E"/>
    <w:rsid w:val="00873AF8"/>
    <w:rsid w:val="00881355"/>
    <w:rsid w:val="00892ADF"/>
    <w:rsid w:val="008A243C"/>
    <w:rsid w:val="008A675F"/>
    <w:rsid w:val="008B5413"/>
    <w:rsid w:val="008C6183"/>
    <w:rsid w:val="008D51F9"/>
    <w:rsid w:val="008D7BCD"/>
    <w:rsid w:val="008E2B1A"/>
    <w:rsid w:val="008E4D09"/>
    <w:rsid w:val="008F03E8"/>
    <w:rsid w:val="008F4626"/>
    <w:rsid w:val="00900395"/>
    <w:rsid w:val="00904643"/>
    <w:rsid w:val="00912566"/>
    <w:rsid w:val="009146E8"/>
    <w:rsid w:val="00914732"/>
    <w:rsid w:val="00915CE1"/>
    <w:rsid w:val="00915E93"/>
    <w:rsid w:val="00916101"/>
    <w:rsid w:val="00927760"/>
    <w:rsid w:val="00927A74"/>
    <w:rsid w:val="0093013D"/>
    <w:rsid w:val="00932111"/>
    <w:rsid w:val="009362CA"/>
    <w:rsid w:val="0093788D"/>
    <w:rsid w:val="00945E0F"/>
    <w:rsid w:val="009470CE"/>
    <w:rsid w:val="00955664"/>
    <w:rsid w:val="00955939"/>
    <w:rsid w:val="00956AEE"/>
    <w:rsid w:val="00962535"/>
    <w:rsid w:val="00962708"/>
    <w:rsid w:val="0096761B"/>
    <w:rsid w:val="00971693"/>
    <w:rsid w:val="00980780"/>
    <w:rsid w:val="00984F9F"/>
    <w:rsid w:val="00995CA0"/>
    <w:rsid w:val="00997423"/>
    <w:rsid w:val="0099781B"/>
    <w:rsid w:val="009A1D93"/>
    <w:rsid w:val="009B18B8"/>
    <w:rsid w:val="009C4330"/>
    <w:rsid w:val="009C6B03"/>
    <w:rsid w:val="009D1949"/>
    <w:rsid w:val="009D6A93"/>
    <w:rsid w:val="009E7456"/>
    <w:rsid w:val="009F22C3"/>
    <w:rsid w:val="009F40DD"/>
    <w:rsid w:val="009F6B37"/>
    <w:rsid w:val="00A01223"/>
    <w:rsid w:val="00A03D5A"/>
    <w:rsid w:val="00A10EA2"/>
    <w:rsid w:val="00A13162"/>
    <w:rsid w:val="00A17B16"/>
    <w:rsid w:val="00A226D2"/>
    <w:rsid w:val="00A26566"/>
    <w:rsid w:val="00A26747"/>
    <w:rsid w:val="00A2681E"/>
    <w:rsid w:val="00A269ED"/>
    <w:rsid w:val="00A32298"/>
    <w:rsid w:val="00A3295B"/>
    <w:rsid w:val="00A375E4"/>
    <w:rsid w:val="00A42CCA"/>
    <w:rsid w:val="00A42D6E"/>
    <w:rsid w:val="00A43A10"/>
    <w:rsid w:val="00A51534"/>
    <w:rsid w:val="00A5482C"/>
    <w:rsid w:val="00A54CAA"/>
    <w:rsid w:val="00A6242A"/>
    <w:rsid w:val="00A66A01"/>
    <w:rsid w:val="00A739AC"/>
    <w:rsid w:val="00A80859"/>
    <w:rsid w:val="00A86B69"/>
    <w:rsid w:val="00A878D6"/>
    <w:rsid w:val="00A8792F"/>
    <w:rsid w:val="00A903AE"/>
    <w:rsid w:val="00AA095A"/>
    <w:rsid w:val="00AA3FF5"/>
    <w:rsid w:val="00AA4B40"/>
    <w:rsid w:val="00AA5D96"/>
    <w:rsid w:val="00AA660D"/>
    <w:rsid w:val="00AA7407"/>
    <w:rsid w:val="00AB1B7E"/>
    <w:rsid w:val="00AC6863"/>
    <w:rsid w:val="00AD0C87"/>
    <w:rsid w:val="00AD2B3C"/>
    <w:rsid w:val="00AE30A6"/>
    <w:rsid w:val="00AE3BB0"/>
    <w:rsid w:val="00AE5937"/>
    <w:rsid w:val="00AF2802"/>
    <w:rsid w:val="00AF64C4"/>
    <w:rsid w:val="00AF6DD3"/>
    <w:rsid w:val="00B02C26"/>
    <w:rsid w:val="00B04487"/>
    <w:rsid w:val="00B07401"/>
    <w:rsid w:val="00B10EF7"/>
    <w:rsid w:val="00B159A8"/>
    <w:rsid w:val="00B16828"/>
    <w:rsid w:val="00B2182C"/>
    <w:rsid w:val="00B24917"/>
    <w:rsid w:val="00B26443"/>
    <w:rsid w:val="00B27FE6"/>
    <w:rsid w:val="00B36AC4"/>
    <w:rsid w:val="00B3756B"/>
    <w:rsid w:val="00B4383C"/>
    <w:rsid w:val="00B51B25"/>
    <w:rsid w:val="00B6002A"/>
    <w:rsid w:val="00B603D7"/>
    <w:rsid w:val="00B60725"/>
    <w:rsid w:val="00B66030"/>
    <w:rsid w:val="00B73AE4"/>
    <w:rsid w:val="00B7532B"/>
    <w:rsid w:val="00B757B3"/>
    <w:rsid w:val="00B80B0C"/>
    <w:rsid w:val="00B837BC"/>
    <w:rsid w:val="00B87B92"/>
    <w:rsid w:val="00B936A1"/>
    <w:rsid w:val="00BA3655"/>
    <w:rsid w:val="00BA5343"/>
    <w:rsid w:val="00BA6133"/>
    <w:rsid w:val="00BA7689"/>
    <w:rsid w:val="00BB47D8"/>
    <w:rsid w:val="00BB5DCE"/>
    <w:rsid w:val="00BC2807"/>
    <w:rsid w:val="00BD09F9"/>
    <w:rsid w:val="00BD2FC2"/>
    <w:rsid w:val="00BD6A31"/>
    <w:rsid w:val="00BE4819"/>
    <w:rsid w:val="00BF0D0A"/>
    <w:rsid w:val="00BF21A2"/>
    <w:rsid w:val="00BF4D2E"/>
    <w:rsid w:val="00C122E4"/>
    <w:rsid w:val="00C24372"/>
    <w:rsid w:val="00C2517C"/>
    <w:rsid w:val="00C25D9B"/>
    <w:rsid w:val="00C27383"/>
    <w:rsid w:val="00C3040B"/>
    <w:rsid w:val="00C35D38"/>
    <w:rsid w:val="00C37560"/>
    <w:rsid w:val="00C40297"/>
    <w:rsid w:val="00C40D71"/>
    <w:rsid w:val="00C422A8"/>
    <w:rsid w:val="00C44BE3"/>
    <w:rsid w:val="00C466B8"/>
    <w:rsid w:val="00C47225"/>
    <w:rsid w:val="00C50F69"/>
    <w:rsid w:val="00C5318B"/>
    <w:rsid w:val="00C542D4"/>
    <w:rsid w:val="00C544C7"/>
    <w:rsid w:val="00C5528A"/>
    <w:rsid w:val="00C60E85"/>
    <w:rsid w:val="00C62497"/>
    <w:rsid w:val="00C70AC7"/>
    <w:rsid w:val="00C76308"/>
    <w:rsid w:val="00C81B87"/>
    <w:rsid w:val="00C83EDB"/>
    <w:rsid w:val="00C8681F"/>
    <w:rsid w:val="00C93FD8"/>
    <w:rsid w:val="00C94474"/>
    <w:rsid w:val="00CA0838"/>
    <w:rsid w:val="00CA515C"/>
    <w:rsid w:val="00CA6BD2"/>
    <w:rsid w:val="00CB0667"/>
    <w:rsid w:val="00CB0BF5"/>
    <w:rsid w:val="00CC2F82"/>
    <w:rsid w:val="00CC3433"/>
    <w:rsid w:val="00CC4102"/>
    <w:rsid w:val="00CC6C41"/>
    <w:rsid w:val="00CC6F8B"/>
    <w:rsid w:val="00CD1A28"/>
    <w:rsid w:val="00CD4A35"/>
    <w:rsid w:val="00CD62BA"/>
    <w:rsid w:val="00CE0011"/>
    <w:rsid w:val="00CE1A9E"/>
    <w:rsid w:val="00CE3F0B"/>
    <w:rsid w:val="00CF1F50"/>
    <w:rsid w:val="00CF5BBF"/>
    <w:rsid w:val="00CF5EFF"/>
    <w:rsid w:val="00D03C6E"/>
    <w:rsid w:val="00D1573C"/>
    <w:rsid w:val="00D15989"/>
    <w:rsid w:val="00D24A45"/>
    <w:rsid w:val="00D24B32"/>
    <w:rsid w:val="00D305EF"/>
    <w:rsid w:val="00D306B8"/>
    <w:rsid w:val="00D309E6"/>
    <w:rsid w:val="00D30B85"/>
    <w:rsid w:val="00D3226F"/>
    <w:rsid w:val="00D33794"/>
    <w:rsid w:val="00D40F3B"/>
    <w:rsid w:val="00D460E9"/>
    <w:rsid w:val="00D54F46"/>
    <w:rsid w:val="00D5552D"/>
    <w:rsid w:val="00D62511"/>
    <w:rsid w:val="00D62F88"/>
    <w:rsid w:val="00D639AA"/>
    <w:rsid w:val="00D679F3"/>
    <w:rsid w:val="00D67C5D"/>
    <w:rsid w:val="00D80675"/>
    <w:rsid w:val="00D80D81"/>
    <w:rsid w:val="00D81505"/>
    <w:rsid w:val="00D852EF"/>
    <w:rsid w:val="00D85E82"/>
    <w:rsid w:val="00D90CF1"/>
    <w:rsid w:val="00D91F37"/>
    <w:rsid w:val="00D93F86"/>
    <w:rsid w:val="00DA4728"/>
    <w:rsid w:val="00DA49FA"/>
    <w:rsid w:val="00DA562D"/>
    <w:rsid w:val="00DA7D26"/>
    <w:rsid w:val="00DB24F2"/>
    <w:rsid w:val="00DB3811"/>
    <w:rsid w:val="00DC463E"/>
    <w:rsid w:val="00DC5CCD"/>
    <w:rsid w:val="00DD299A"/>
    <w:rsid w:val="00DD3C34"/>
    <w:rsid w:val="00DD4C09"/>
    <w:rsid w:val="00DD63F6"/>
    <w:rsid w:val="00DE3BAE"/>
    <w:rsid w:val="00DE674D"/>
    <w:rsid w:val="00DF0D9E"/>
    <w:rsid w:val="00DF10F5"/>
    <w:rsid w:val="00DF72DB"/>
    <w:rsid w:val="00E031F7"/>
    <w:rsid w:val="00E076CB"/>
    <w:rsid w:val="00E16BDE"/>
    <w:rsid w:val="00E211EC"/>
    <w:rsid w:val="00E213DD"/>
    <w:rsid w:val="00E22DC0"/>
    <w:rsid w:val="00E271BB"/>
    <w:rsid w:val="00E27477"/>
    <w:rsid w:val="00E27B19"/>
    <w:rsid w:val="00E468BD"/>
    <w:rsid w:val="00E47161"/>
    <w:rsid w:val="00E47B3E"/>
    <w:rsid w:val="00E5240B"/>
    <w:rsid w:val="00E53F12"/>
    <w:rsid w:val="00E544F3"/>
    <w:rsid w:val="00E61567"/>
    <w:rsid w:val="00E6572C"/>
    <w:rsid w:val="00E65AA1"/>
    <w:rsid w:val="00E66A6C"/>
    <w:rsid w:val="00E709BF"/>
    <w:rsid w:val="00E71842"/>
    <w:rsid w:val="00E76450"/>
    <w:rsid w:val="00E77213"/>
    <w:rsid w:val="00E81ABF"/>
    <w:rsid w:val="00E832BF"/>
    <w:rsid w:val="00E84833"/>
    <w:rsid w:val="00E8799B"/>
    <w:rsid w:val="00E91CDD"/>
    <w:rsid w:val="00EA16AE"/>
    <w:rsid w:val="00EA2938"/>
    <w:rsid w:val="00EA3628"/>
    <w:rsid w:val="00EA7C24"/>
    <w:rsid w:val="00EB15C9"/>
    <w:rsid w:val="00EB2AB8"/>
    <w:rsid w:val="00EB2AFE"/>
    <w:rsid w:val="00EB5912"/>
    <w:rsid w:val="00EB7FF9"/>
    <w:rsid w:val="00EC020F"/>
    <w:rsid w:val="00EC0E0E"/>
    <w:rsid w:val="00EC70A7"/>
    <w:rsid w:val="00EE4C46"/>
    <w:rsid w:val="00EE558E"/>
    <w:rsid w:val="00EF2F94"/>
    <w:rsid w:val="00EF42C4"/>
    <w:rsid w:val="00EF4811"/>
    <w:rsid w:val="00F009B9"/>
    <w:rsid w:val="00F02442"/>
    <w:rsid w:val="00F02608"/>
    <w:rsid w:val="00F061AC"/>
    <w:rsid w:val="00F07659"/>
    <w:rsid w:val="00F129C4"/>
    <w:rsid w:val="00F24E5E"/>
    <w:rsid w:val="00F3114D"/>
    <w:rsid w:val="00F4189E"/>
    <w:rsid w:val="00F43615"/>
    <w:rsid w:val="00F4668C"/>
    <w:rsid w:val="00F47666"/>
    <w:rsid w:val="00F600E2"/>
    <w:rsid w:val="00F625E7"/>
    <w:rsid w:val="00F6740C"/>
    <w:rsid w:val="00F718AB"/>
    <w:rsid w:val="00F72EE7"/>
    <w:rsid w:val="00F81B58"/>
    <w:rsid w:val="00F921EC"/>
    <w:rsid w:val="00F92513"/>
    <w:rsid w:val="00F92526"/>
    <w:rsid w:val="00F9645E"/>
    <w:rsid w:val="00F9735B"/>
    <w:rsid w:val="00FA1FC0"/>
    <w:rsid w:val="00FA541B"/>
    <w:rsid w:val="00FA6B3B"/>
    <w:rsid w:val="00FB6732"/>
    <w:rsid w:val="00FB6C42"/>
    <w:rsid w:val="00FB71E2"/>
    <w:rsid w:val="00FB7DD6"/>
    <w:rsid w:val="00FC43BE"/>
    <w:rsid w:val="00FC4C7A"/>
    <w:rsid w:val="00FC5ECC"/>
    <w:rsid w:val="00FD02D4"/>
    <w:rsid w:val="00FD3581"/>
    <w:rsid w:val="00FD5619"/>
    <w:rsid w:val="00FE0CC7"/>
    <w:rsid w:val="00FE63C7"/>
    <w:rsid w:val="00FF1CC9"/>
    <w:rsid w:val="00FF47CD"/>
    <w:rsid w:val="6ED7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Body Tex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838"/>
    <w:pPr>
      <w:widowControl w:val="0"/>
      <w:jc w:val="both"/>
    </w:pPr>
    <w:rPr>
      <w:kern w:val="2"/>
      <w:sz w:val="21"/>
      <w:szCs w:val="24"/>
    </w:rPr>
  </w:style>
  <w:style w:type="paragraph" w:styleId="1">
    <w:name w:val="heading 1"/>
    <w:basedOn w:val="a"/>
    <w:next w:val="a"/>
    <w:link w:val="1Char"/>
    <w:uiPriority w:val="1"/>
    <w:qFormat/>
    <w:rsid w:val="00D679F3"/>
    <w:pPr>
      <w:spacing w:line="689" w:lineRule="exact"/>
      <w:ind w:right="222"/>
      <w:jc w:val="center"/>
      <w:outlineLvl w:val="0"/>
    </w:pPr>
    <w:rPr>
      <w:rFonts w:ascii="方正小标宋简体" w:eastAsia="方正小标宋简体" w:hAnsi="方正小标宋简体" w:cs="方正小标宋简体"/>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A0838"/>
  </w:style>
  <w:style w:type="paragraph" w:customStyle="1" w:styleId="Char">
    <w:name w:val="Char"/>
    <w:basedOn w:val="a"/>
    <w:rsid w:val="00CA0838"/>
    <w:pPr>
      <w:widowControl/>
      <w:spacing w:line="595" w:lineRule="atLeast"/>
      <w:ind w:left="1"/>
      <w:jc w:val="left"/>
      <w:textAlignment w:val="bottom"/>
    </w:pPr>
    <w:rPr>
      <w:rFonts w:ascii="Tahoma" w:hAnsi="Tahoma" w:cs="仿宋_GB2312"/>
      <w:color w:val="000000"/>
      <w:kern w:val="0"/>
      <w:sz w:val="24"/>
      <w:szCs w:val="20"/>
    </w:rPr>
  </w:style>
  <w:style w:type="paragraph" w:styleId="a4">
    <w:name w:val="header"/>
    <w:basedOn w:val="a"/>
    <w:rsid w:val="00CA0838"/>
    <w:pPr>
      <w:pBdr>
        <w:bottom w:val="single" w:sz="6" w:space="1" w:color="auto"/>
      </w:pBdr>
      <w:tabs>
        <w:tab w:val="center" w:pos="4153"/>
        <w:tab w:val="right" w:pos="8306"/>
      </w:tabs>
      <w:snapToGrid w:val="0"/>
      <w:jc w:val="center"/>
    </w:pPr>
    <w:rPr>
      <w:sz w:val="18"/>
      <w:szCs w:val="18"/>
    </w:rPr>
  </w:style>
  <w:style w:type="paragraph" w:styleId="a5">
    <w:name w:val="footer"/>
    <w:basedOn w:val="a"/>
    <w:unhideWhenUsed/>
    <w:rsid w:val="00CA0838"/>
    <w:pPr>
      <w:tabs>
        <w:tab w:val="center" w:pos="4153"/>
        <w:tab w:val="right" w:pos="8306"/>
      </w:tabs>
      <w:snapToGrid w:val="0"/>
      <w:jc w:val="left"/>
    </w:pPr>
    <w:rPr>
      <w:sz w:val="18"/>
      <w:szCs w:val="18"/>
    </w:rPr>
  </w:style>
  <w:style w:type="paragraph" w:styleId="a6">
    <w:name w:val="Body Text"/>
    <w:basedOn w:val="a"/>
    <w:unhideWhenUsed/>
    <w:rsid w:val="00CA0838"/>
    <w:rPr>
      <w:sz w:val="32"/>
    </w:rPr>
  </w:style>
  <w:style w:type="table" w:styleId="a7">
    <w:name w:val="Table Grid"/>
    <w:basedOn w:val="a1"/>
    <w:qFormat/>
    <w:rsid w:val="0056780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rsid w:val="00567805"/>
    <w:rPr>
      <w:rFonts w:ascii="宋体" w:eastAsia="宋体" w:hAnsi="宋体" w:cs="宋体" w:hint="eastAsia"/>
      <w:b/>
      <w:color w:val="000000"/>
      <w:sz w:val="36"/>
      <w:szCs w:val="36"/>
      <w:u w:val="none"/>
    </w:rPr>
  </w:style>
  <w:style w:type="paragraph" w:styleId="a8">
    <w:name w:val="Date"/>
    <w:basedOn w:val="a"/>
    <w:next w:val="a"/>
    <w:link w:val="Char0"/>
    <w:rsid w:val="00850C9C"/>
    <w:pPr>
      <w:ind w:leftChars="2500" w:left="100"/>
    </w:pPr>
  </w:style>
  <w:style w:type="character" w:customStyle="1" w:styleId="Char0">
    <w:name w:val="日期 Char"/>
    <w:basedOn w:val="a0"/>
    <w:link w:val="a8"/>
    <w:rsid w:val="00850C9C"/>
    <w:rPr>
      <w:kern w:val="2"/>
      <w:sz w:val="21"/>
      <w:szCs w:val="24"/>
    </w:rPr>
  </w:style>
  <w:style w:type="character" w:customStyle="1" w:styleId="1Char">
    <w:name w:val="标题 1 Char"/>
    <w:basedOn w:val="a0"/>
    <w:link w:val="1"/>
    <w:uiPriority w:val="1"/>
    <w:rsid w:val="00D679F3"/>
    <w:rPr>
      <w:rFonts w:ascii="方正小标宋简体" w:eastAsia="方正小标宋简体" w:hAnsi="方正小标宋简体" w:cs="方正小标宋简体"/>
      <w:kern w:val="2"/>
      <w:sz w:val="44"/>
      <w:szCs w:val="44"/>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1079</Words>
  <Characters>6152</Characters>
  <Application>Microsoft Office Word</Application>
  <DocSecurity>0</DocSecurity>
  <Lines>51</Lines>
  <Paragraphs>14</Paragraphs>
  <ScaleCrop>false</ScaleCrop>
  <Company>IT</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枣台司党字〔2017〕11号</dc:title>
  <dc:creator>lenovo</dc:creator>
  <cp:lastModifiedBy>Lenovo</cp:lastModifiedBy>
  <cp:revision>21</cp:revision>
  <cp:lastPrinted>2021-06-27T03:31:00Z</cp:lastPrinted>
  <dcterms:created xsi:type="dcterms:W3CDTF">2021-06-27T02:27:00Z</dcterms:created>
  <dcterms:modified xsi:type="dcterms:W3CDTF">2021-06-27T03:42:00Z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